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57" w:rsidRPr="00E5638D" w:rsidRDefault="00832257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</w:t>
      </w:r>
      <w:r w:rsidR="006E676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 1</w:t>
      </w:r>
    </w:p>
    <w:p w:rsidR="00832257" w:rsidRPr="00E5638D" w:rsidRDefault="00832257" w:rsidP="00832257">
      <w:pPr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bookmarkStart w:id="0" w:name="_Hlk6837211"/>
      <w:bookmarkStart w:id="1" w:name="_Hlk103948833"/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решению </w:t>
      </w:r>
      <w:bookmarkEnd w:id="0"/>
      <w:r w:rsidR="001C42F3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Совета депутатов Угранского сельского поселения Угранского района Смоленской области</w:t>
      </w:r>
    </w:p>
    <w:p w:rsidR="00832257" w:rsidRPr="00E5638D" w:rsidRDefault="00832257" w:rsidP="0083225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C92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925EF" w:rsidRPr="00C925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22.11.</w:t>
      </w:r>
      <w:r w:rsidRPr="00C925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2022</w:t>
      </w:r>
      <w:r w:rsidR="00C925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г.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925EF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bookmarkEnd w:id="1"/>
    <w:p w:rsidR="00832257" w:rsidRPr="00E5638D" w:rsidRDefault="00832257" w:rsidP="00832257">
      <w:pPr>
        <w:pStyle w:val="afc"/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257" w:rsidRPr="00E5638D" w:rsidRDefault="00832257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Pr="00E5638D" w:rsidRDefault="00C96682" w:rsidP="0061011E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БЛАГОУСТРОЙСТВА ТЕРРИТОРИИ </w:t>
      </w:r>
    </w:p>
    <w:p w:rsidR="001C42F3" w:rsidRDefault="001C42F3" w:rsidP="001C42F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32"/>
          <w:szCs w:val="24"/>
          <w:lang w:bidi="ru-RU"/>
        </w:rPr>
        <w:t>м</w:t>
      </w:r>
      <w:r w:rsidRPr="00277D2C">
        <w:rPr>
          <w:rFonts w:ascii="Times New Roman" w:hAnsi="Times New Roman" w:cs="Times New Roman"/>
          <w:b/>
          <w:bCs/>
          <w:sz w:val="32"/>
          <w:szCs w:val="24"/>
          <w:lang w:bidi="ru-RU"/>
        </w:rPr>
        <w:t>униципального</w:t>
      </w:r>
      <w:r>
        <w:rPr>
          <w:rFonts w:ascii="Times New Roman" w:hAnsi="Times New Roman" w:cs="Times New Roman"/>
          <w:b/>
          <w:bCs/>
          <w:sz w:val="32"/>
          <w:szCs w:val="24"/>
          <w:lang w:bidi="ru-RU"/>
        </w:rPr>
        <w:t xml:space="preserve"> </w:t>
      </w:r>
      <w:r w:rsidRPr="00277D2C">
        <w:rPr>
          <w:rFonts w:ascii="Times New Roman" w:hAnsi="Times New Roman" w:cs="Times New Roman"/>
          <w:b/>
          <w:bCs/>
          <w:sz w:val="32"/>
          <w:szCs w:val="24"/>
          <w:lang w:bidi="ru-RU"/>
        </w:rPr>
        <w:t>образования Угранского сельского поселения Угранского района Смоленской области</w:t>
      </w:r>
      <w:r>
        <w:rPr>
          <w:rFonts w:ascii="Times New Roman" w:hAnsi="Times New Roman" w:cs="Times New Roman"/>
          <w:b/>
          <w:bCs/>
          <w:sz w:val="32"/>
          <w:szCs w:val="24"/>
          <w:lang w:bidi="ru-RU"/>
        </w:rPr>
        <w:t xml:space="preserve"> </w:t>
      </w:r>
    </w:p>
    <w:p w:rsidR="001C42F3" w:rsidRDefault="001C42F3" w:rsidP="001C42F3">
      <w:pPr>
        <w:spacing w:after="0"/>
        <w:jc w:val="center"/>
        <w:rPr>
          <w:rFonts w:ascii="Times New Roman" w:hAnsi="Times New Roman" w:cs="Times New Roman"/>
          <w:sz w:val="28"/>
          <w:szCs w:val="24"/>
          <w:lang w:bidi="ru-RU"/>
        </w:rPr>
      </w:pPr>
    </w:p>
    <w:p w:rsidR="001C42F3" w:rsidRDefault="001C42F3" w:rsidP="001C42F3">
      <w:pPr>
        <w:spacing w:after="0"/>
        <w:jc w:val="center"/>
        <w:rPr>
          <w:rFonts w:ascii="Times New Roman" w:hAnsi="Times New Roman" w:cs="Times New Roman"/>
          <w:sz w:val="28"/>
          <w:szCs w:val="24"/>
          <w:lang w:bidi="ru-RU"/>
        </w:rPr>
      </w:pPr>
      <w:r w:rsidRPr="00277D2C">
        <w:rPr>
          <w:rFonts w:ascii="Times New Roman" w:hAnsi="Times New Roman" w:cs="Times New Roman"/>
          <w:sz w:val="28"/>
          <w:szCs w:val="24"/>
          <w:lang w:bidi="ru-RU"/>
        </w:rPr>
        <w:t>Содержание</w:t>
      </w:r>
    </w:p>
    <w:p w:rsidR="00E0086C" w:rsidRDefault="00E0086C" w:rsidP="001C42F3">
      <w:pPr>
        <w:spacing w:after="0"/>
        <w:jc w:val="center"/>
        <w:rPr>
          <w:rFonts w:ascii="Times New Roman" w:hAnsi="Times New Roman" w:cs="Times New Roman"/>
          <w:sz w:val="28"/>
          <w:szCs w:val="24"/>
          <w:lang w:bidi="ru-RU"/>
        </w:rPr>
      </w:pPr>
    </w:p>
    <w:p w:rsidR="00E0086C" w:rsidRDefault="00E0086C" w:rsidP="001C42F3">
      <w:pPr>
        <w:spacing w:after="0"/>
        <w:jc w:val="center"/>
        <w:rPr>
          <w:rFonts w:ascii="Times New Roman" w:hAnsi="Times New Roman" w:cs="Times New Roman"/>
          <w:sz w:val="28"/>
          <w:szCs w:val="24"/>
          <w:lang w:bidi="ru-RU"/>
        </w:rPr>
      </w:pPr>
    </w:p>
    <w:p w:rsidR="00E0086C" w:rsidRPr="00E0086C" w:rsidRDefault="00E0086C" w:rsidP="00E0086C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E0086C">
        <w:rPr>
          <w:rStyle w:val="a7"/>
          <w:rFonts w:ascii="Times New Roman" w:hAnsi="Times New Roman" w:cs="Times New Roman"/>
          <w:b w:val="0"/>
          <w:sz w:val="28"/>
          <w:szCs w:val="28"/>
        </w:rPr>
        <w:t>1. Предмет регулирования настоящих Правил</w:t>
      </w:r>
    </w:p>
    <w:p w:rsidR="00E0086C" w:rsidRDefault="00E0086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0086C">
        <w:rPr>
          <w:b w:val="0"/>
          <w:sz w:val="28"/>
          <w:szCs w:val="28"/>
        </w:rPr>
        <w:t xml:space="preserve">2. Формы и механизмы участия жителей поселения в принятии и реализации решений по благоустройству территории поселения </w:t>
      </w:r>
    </w:p>
    <w:p w:rsidR="00E0086C" w:rsidRDefault="00E0086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0086C">
        <w:rPr>
          <w:b w:val="0"/>
          <w:sz w:val="28"/>
          <w:szCs w:val="28"/>
        </w:rPr>
        <w:t>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E0086C" w:rsidRDefault="00E0086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0086C">
        <w:rPr>
          <w:b w:val="0"/>
          <w:sz w:val="28"/>
          <w:szCs w:val="28"/>
        </w:rPr>
        <w:t>4. Общие требования к организации уборки территории поселения</w:t>
      </w:r>
    </w:p>
    <w:p w:rsidR="00E0086C" w:rsidRDefault="00E0086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0086C">
        <w:rPr>
          <w:b w:val="0"/>
          <w:sz w:val="28"/>
          <w:szCs w:val="28"/>
        </w:rPr>
        <w:t>5. Особенности организации уборки территории поселения в зимний период</w:t>
      </w:r>
    </w:p>
    <w:p w:rsidR="00E0086C" w:rsidRDefault="00E0086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0086C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</w:t>
      </w:r>
      <w:r w:rsidR="00C10A5C">
        <w:rPr>
          <w:b w:val="0"/>
          <w:sz w:val="28"/>
          <w:szCs w:val="28"/>
        </w:rPr>
        <w:t xml:space="preserve"> </w:t>
      </w:r>
      <w:r w:rsidRPr="00E0086C">
        <w:rPr>
          <w:b w:val="0"/>
          <w:sz w:val="28"/>
          <w:szCs w:val="28"/>
        </w:rPr>
        <w:t>Особенности организации уборки территории поселения</w:t>
      </w:r>
      <w:r>
        <w:rPr>
          <w:b w:val="0"/>
          <w:sz w:val="28"/>
          <w:szCs w:val="28"/>
        </w:rPr>
        <w:t xml:space="preserve"> </w:t>
      </w:r>
      <w:r w:rsidRPr="00E0086C">
        <w:rPr>
          <w:b w:val="0"/>
          <w:sz w:val="28"/>
          <w:szCs w:val="28"/>
        </w:rPr>
        <w:t>в летний период</w:t>
      </w:r>
    </w:p>
    <w:p w:rsidR="00E0086C" w:rsidRDefault="00E0086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0086C">
        <w:rPr>
          <w:b w:val="0"/>
          <w:sz w:val="28"/>
          <w:szCs w:val="28"/>
        </w:rPr>
        <w:t>7. Обеспечение надлежащего содержания объектов благоустройства</w:t>
      </w:r>
    </w:p>
    <w:p w:rsidR="00E0086C" w:rsidRDefault="00C10A5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</w:t>
      </w:r>
      <w:r w:rsidR="00E0086C" w:rsidRPr="00E0086C">
        <w:rPr>
          <w:b w:val="0"/>
          <w:sz w:val="28"/>
          <w:szCs w:val="28"/>
        </w:rPr>
        <w:t>Организация пешеходных коммуникаций, в том числе тротуаров, аллей, дорожек, тропинок</w:t>
      </w:r>
    </w:p>
    <w:p w:rsidR="00E0086C" w:rsidRDefault="00E0086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0086C">
        <w:rPr>
          <w:b w:val="0"/>
          <w:sz w:val="28"/>
          <w:szCs w:val="28"/>
        </w:rPr>
        <w:t xml:space="preserve">9.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Pr="00E0086C">
        <w:rPr>
          <w:b w:val="0"/>
          <w:sz w:val="28"/>
          <w:szCs w:val="28"/>
        </w:rPr>
        <w:t>маломобильных</w:t>
      </w:r>
      <w:proofErr w:type="spellEnd"/>
      <w:r w:rsidRPr="00E0086C">
        <w:rPr>
          <w:b w:val="0"/>
          <w:sz w:val="28"/>
          <w:szCs w:val="28"/>
        </w:rPr>
        <w:t xml:space="preserve"> групп населения</w:t>
      </w:r>
      <w:r>
        <w:rPr>
          <w:b w:val="0"/>
          <w:sz w:val="28"/>
          <w:szCs w:val="28"/>
        </w:rPr>
        <w:t>.</w:t>
      </w:r>
    </w:p>
    <w:p w:rsidR="00E0086C" w:rsidRDefault="00E0086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0086C">
        <w:rPr>
          <w:b w:val="0"/>
          <w:sz w:val="28"/>
          <w:szCs w:val="28"/>
        </w:rPr>
        <w:t>10. Детские и спортивные площадки.</w:t>
      </w:r>
    </w:p>
    <w:p w:rsidR="00E0086C" w:rsidRDefault="00E0086C" w:rsidP="00E0086C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0086C">
        <w:rPr>
          <w:b w:val="0"/>
          <w:sz w:val="28"/>
          <w:szCs w:val="28"/>
        </w:rPr>
        <w:t>11. Парковки (парковочные места)</w:t>
      </w:r>
    </w:p>
    <w:p w:rsidR="00FC304E" w:rsidRDefault="00FC304E" w:rsidP="00FC304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C304E">
        <w:rPr>
          <w:b w:val="0"/>
          <w:sz w:val="28"/>
          <w:szCs w:val="28"/>
        </w:rPr>
        <w:t>12. Площадки для выгула животных</w:t>
      </w:r>
    </w:p>
    <w:p w:rsidR="00FC304E" w:rsidRDefault="00FC304E" w:rsidP="00FC304E">
      <w:pPr>
        <w:pStyle w:val="4"/>
        <w:spacing w:before="0" w:beforeAutospacing="0" w:after="0" w:afterAutospacing="0"/>
        <w:ind w:firstLine="709"/>
        <w:rPr>
          <w:b w:val="0"/>
          <w:sz w:val="28"/>
          <w:szCs w:val="28"/>
        </w:rPr>
      </w:pPr>
      <w:r w:rsidRPr="00FC304E">
        <w:rPr>
          <w:b w:val="0"/>
          <w:sz w:val="28"/>
          <w:szCs w:val="28"/>
        </w:rPr>
        <w:t>13. Посадка зелёных насаждений</w:t>
      </w:r>
    </w:p>
    <w:p w:rsidR="00FC304E" w:rsidRPr="00FC304E" w:rsidRDefault="00FC304E" w:rsidP="00FC304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C304E">
        <w:rPr>
          <w:b w:val="0"/>
          <w:sz w:val="28"/>
          <w:szCs w:val="28"/>
        </w:rPr>
        <w:t>14. Восстановление зелёных насаждений</w:t>
      </w:r>
    </w:p>
    <w:p w:rsidR="00FC304E" w:rsidRDefault="00FC304E" w:rsidP="00FC304E">
      <w:pPr>
        <w:pStyle w:val="4"/>
        <w:spacing w:before="0" w:beforeAutospacing="0" w:after="0" w:afterAutospacing="0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FC304E">
        <w:rPr>
          <w:rFonts w:eastAsia="Calibri"/>
          <w:b w:val="0"/>
          <w:color w:val="000000" w:themeColor="text1"/>
          <w:sz w:val="28"/>
          <w:szCs w:val="28"/>
          <w:lang w:eastAsia="en-US"/>
        </w:rPr>
        <w:t xml:space="preserve">15. Мероприятия по выявлению ядовитых и вредных </w:t>
      </w:r>
      <w:r w:rsidRPr="00FC304E">
        <w:rPr>
          <w:rFonts w:eastAsia="Calibri"/>
          <w:b w:val="0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FC304E" w:rsidRDefault="00FC304E" w:rsidP="00FC304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C304E">
        <w:rPr>
          <w:b w:val="0"/>
          <w:sz w:val="28"/>
          <w:szCs w:val="28"/>
        </w:rPr>
        <w:t>16. Места (площадки) накопления твердых коммунальных отходов</w:t>
      </w:r>
    </w:p>
    <w:p w:rsidR="00FC304E" w:rsidRPr="00FC304E" w:rsidRDefault="00FC304E" w:rsidP="00FC304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C304E">
        <w:rPr>
          <w:b w:val="0"/>
          <w:sz w:val="28"/>
          <w:szCs w:val="28"/>
        </w:rPr>
        <w:t>17. Выпас и прогон сельскохозяйственных животных</w:t>
      </w:r>
    </w:p>
    <w:p w:rsidR="00FC304E" w:rsidRDefault="00FC304E" w:rsidP="00FC304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C304E">
        <w:rPr>
          <w:b w:val="0"/>
          <w:sz w:val="28"/>
          <w:szCs w:val="28"/>
        </w:rPr>
        <w:t>18. Праздничное оформление территории поселения</w:t>
      </w:r>
    </w:p>
    <w:p w:rsidR="00FC304E" w:rsidRPr="00FC304E" w:rsidRDefault="00FC304E" w:rsidP="00FC304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C304E">
        <w:rPr>
          <w:b w:val="0"/>
          <w:sz w:val="28"/>
          <w:szCs w:val="28"/>
        </w:rPr>
        <w:t>19. Ответственность за нарушение Правил</w:t>
      </w:r>
    </w:p>
    <w:p w:rsidR="00FE2A2F" w:rsidRDefault="00FE2A2F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04E" w:rsidRDefault="00FC304E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22B" w:rsidRDefault="001E122B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304E" w:rsidRDefault="00FC304E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761" w:rsidRDefault="006E6761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761" w:rsidRPr="00E5638D" w:rsidRDefault="006E6761" w:rsidP="00FE2A2F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3D5E" w:rsidRDefault="00C03D5E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  <w:r w:rsidRPr="008F6E14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2" w:name="1"/>
      <w:bookmarkEnd w:id="2"/>
    </w:p>
    <w:p w:rsidR="00FC304E" w:rsidRPr="008F6E14" w:rsidRDefault="00FC304E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</w:p>
    <w:p w:rsidR="006E6761" w:rsidRPr="00E5638D" w:rsidRDefault="00C03D5E" w:rsidP="006E67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</w:t>
      </w:r>
      <w:r w:rsidR="00C96682"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территории </w:t>
      </w:r>
      <w:bookmarkStart w:id="3" w:name="_Hlk101519067"/>
      <w:r w:rsidR="00FC304E" w:rsidRPr="00277D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Угранское сельское поселение </w:t>
      </w:r>
      <w:r w:rsidR="006E6761">
        <w:rPr>
          <w:rFonts w:ascii="Times New Roman" w:hAnsi="Times New Roman" w:cs="Times New Roman"/>
          <w:sz w:val="28"/>
          <w:szCs w:val="28"/>
        </w:rPr>
        <w:t xml:space="preserve">Угранского района Смоленской области </w:t>
      </w:r>
      <w:r w:rsidR="00FC304E" w:rsidRPr="00277D2C">
        <w:rPr>
          <w:rFonts w:ascii="Times New Roman" w:hAnsi="Times New Roman" w:cs="Times New Roman"/>
          <w:sz w:val="28"/>
          <w:szCs w:val="28"/>
        </w:rPr>
        <w:t xml:space="preserve">(далее - Правила) </w:t>
      </w:r>
      <w:r w:rsidR="009B7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bookmarkEnd w:id="3"/>
      <w:r w:rsidR="006E6761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6E6761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="006E6761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C96682" w:rsidRPr="00E5638D" w:rsidRDefault="00C96682" w:rsidP="006E67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C03D5E" w:rsidRPr="00E5638D" w:rsidRDefault="00C03D5E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4" w:name="3"/>
      <w:bookmarkEnd w:id="4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457D7A" w:rsidRPr="00E5638D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457D7A" w:rsidRPr="007B0CF7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</w:t>
      </w:r>
      <w:r w:rsidR="00EA519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</w:t>
      </w:r>
      <w:r w:rsidR="003F545B"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="004206B4"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7D7A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проходы (проезды) используемые большинством </w:t>
      </w:r>
      <w:r w:rsidR="00D8085A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населенного пункта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доступа к социально-значимым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торговым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жилой застройки;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E3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66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E3C" w:rsidRPr="00277D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66E3C">
        <w:rPr>
          <w:rFonts w:ascii="Times New Roman" w:hAnsi="Times New Roman" w:cs="Times New Roman"/>
          <w:sz w:val="28"/>
          <w:szCs w:val="28"/>
        </w:rPr>
        <w:t>«</w:t>
      </w:r>
      <w:r w:rsidR="00E66E3C" w:rsidRPr="00277D2C">
        <w:rPr>
          <w:rFonts w:ascii="Times New Roman" w:hAnsi="Times New Roman" w:cs="Times New Roman"/>
          <w:sz w:val="28"/>
          <w:szCs w:val="28"/>
        </w:rPr>
        <w:t>Угранск</w:t>
      </w:r>
      <w:r w:rsidR="00E66E3C">
        <w:rPr>
          <w:rFonts w:ascii="Times New Roman" w:hAnsi="Times New Roman" w:cs="Times New Roman"/>
          <w:sz w:val="28"/>
          <w:szCs w:val="28"/>
        </w:rPr>
        <w:t>ий</w:t>
      </w:r>
      <w:r w:rsidR="00E66E3C" w:rsidRPr="00277D2C">
        <w:rPr>
          <w:rFonts w:ascii="Times New Roman" w:hAnsi="Times New Roman" w:cs="Times New Roman"/>
          <w:sz w:val="28"/>
          <w:szCs w:val="28"/>
        </w:rPr>
        <w:t xml:space="preserve"> </w:t>
      </w:r>
      <w:r w:rsidR="00E66E3C">
        <w:rPr>
          <w:rFonts w:ascii="Times New Roman" w:hAnsi="Times New Roman" w:cs="Times New Roman"/>
          <w:sz w:val="28"/>
          <w:szCs w:val="28"/>
        </w:rPr>
        <w:t>район»</w:t>
      </w:r>
      <w:r w:rsidR="00E66E3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E3C" w:rsidRPr="001E12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7AA7" w:rsidRPr="00E5638D" w:rsidRDefault="00452DC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2F10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F5413" w:rsidRDefault="00EF5413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="00673923"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792FF0" w:rsidRPr="00696B6C" w:rsidRDefault="00792F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(детской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спортивной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площадки для выгула животных)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измеряется от ограждения, защитной зоны из кустов и деревьев или на основании</w:t>
      </w:r>
      <w:r w:rsidR="00782FDD" w:rsidRPr="00696B6C">
        <w:rPr>
          <w:color w:val="000000" w:themeColor="text1"/>
        </w:rPr>
        <w:t xml:space="preserve">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(бетонного,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асфальтированного) основания контейнерной площадки.</w:t>
      </w:r>
    </w:p>
    <w:p w:rsidR="00452DC2" w:rsidRPr="00E5638D" w:rsidRDefault="00EF5413" w:rsidP="0038772A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C03D5E" w:rsidRPr="007B0CF7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C03D5E" w:rsidRDefault="00C03D5E" w:rsidP="0038772A">
      <w:pPr>
        <w:pStyle w:val="afc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B41" w:rsidRPr="008F6E14" w:rsidRDefault="002E6B41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t>Глава 2. Формы и механизмы участия жителей поселения в принятии</w:t>
      </w:r>
      <w:r w:rsidR="00197638" w:rsidRPr="008F6E14">
        <w:rPr>
          <w:sz w:val="28"/>
          <w:szCs w:val="28"/>
        </w:rPr>
        <w:t xml:space="preserve"> и реализации</w:t>
      </w:r>
      <w:r w:rsidRPr="008F6E14">
        <w:rPr>
          <w:sz w:val="28"/>
          <w:szCs w:val="28"/>
        </w:rPr>
        <w:t xml:space="preserve"> решений по благоустройству территории </w:t>
      </w:r>
      <w:bookmarkStart w:id="5" w:name="_Hlk5026116"/>
      <w:r w:rsidRPr="008F6E14">
        <w:rPr>
          <w:sz w:val="28"/>
          <w:szCs w:val="28"/>
        </w:rPr>
        <w:t xml:space="preserve">поселения </w:t>
      </w:r>
      <w:bookmarkEnd w:id="5"/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Администрации</w:t>
      </w:r>
      <w:r w:rsidR="001E1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22B" w:rsidRPr="00277D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122B">
        <w:rPr>
          <w:rFonts w:ascii="Times New Roman" w:hAnsi="Times New Roman" w:cs="Times New Roman"/>
          <w:sz w:val="28"/>
          <w:szCs w:val="28"/>
        </w:rPr>
        <w:t>«</w:t>
      </w:r>
      <w:r w:rsidR="001E122B" w:rsidRPr="00277D2C">
        <w:rPr>
          <w:rFonts w:ascii="Times New Roman" w:hAnsi="Times New Roman" w:cs="Times New Roman"/>
          <w:sz w:val="28"/>
          <w:szCs w:val="28"/>
        </w:rPr>
        <w:t>Угранск</w:t>
      </w:r>
      <w:r w:rsidR="001E122B">
        <w:rPr>
          <w:rFonts w:ascii="Times New Roman" w:hAnsi="Times New Roman" w:cs="Times New Roman"/>
          <w:sz w:val="28"/>
          <w:szCs w:val="28"/>
        </w:rPr>
        <w:t>ий</w:t>
      </w:r>
      <w:r w:rsidR="001E122B" w:rsidRPr="00277D2C">
        <w:rPr>
          <w:rFonts w:ascii="Times New Roman" w:hAnsi="Times New Roman" w:cs="Times New Roman"/>
          <w:sz w:val="28"/>
          <w:szCs w:val="28"/>
        </w:rPr>
        <w:t xml:space="preserve"> </w:t>
      </w:r>
      <w:r w:rsidR="001E122B">
        <w:rPr>
          <w:rFonts w:ascii="Times New Roman" w:hAnsi="Times New Roman" w:cs="Times New Roman"/>
          <w:sz w:val="28"/>
          <w:szCs w:val="28"/>
        </w:rPr>
        <w:t>район»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22B" w:rsidRPr="001E12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Смоленской области</w:t>
      </w:r>
      <w:r w:rsidR="001E12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r w:rsidR="009C1D9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1E122B" w:rsidRPr="001E1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http://admin-ugra.ru/ </w:t>
      </w:r>
      <w:r w:rsidR="007A5C7E"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10225A" w:rsidRPr="00E5638D" w:rsidRDefault="0010225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:rsidR="00280CCC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80CCC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2E6B41" w:rsidRPr="00E5638D" w:rsidRDefault="00CD659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22456A" w:rsidRPr="00E5638D" w:rsidRDefault="0022456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:rsidR="00C03D5E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2E6B41" w:rsidRPr="00E5638D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6075DC" w:rsidRPr="00F71BCF" w:rsidRDefault="006075DC" w:rsidP="00F4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="00F462EF" w:rsidRP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036040" w:rsidRPr="0003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04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431D02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C76893" w:rsidRPr="00F71BCF" w:rsidRDefault="007C39E6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20236279"/>
      <w:bookmarkStart w:id="8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7"/>
      <w:bookmarkEnd w:id="8"/>
      <w:r w:rsidR="00C7689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</w:t>
      </w:r>
      <w:r w:rsidR="001E122B">
        <w:rPr>
          <w:rFonts w:ascii="Times New Roman" w:hAnsi="Times New Roman" w:cs="Times New Roman"/>
          <w:color w:val="000000" w:themeColor="text1"/>
          <w:sz w:val="28"/>
          <w:szCs w:val="28"/>
        </w:rPr>
        <w:t>не более 3</w:t>
      </w:r>
      <w:r w:rsidR="0008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метров</w:t>
      </w:r>
      <w:r w:rsidR="000819E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 w:rsidR="001E1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5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 w:rsidR="001E1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5 </w:t>
      </w:r>
      <w:r w:rsidR="001E122B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ограждения территории индивидуального жилого дома или жилого дома блокированной застройки, а в случае отсутствия ограждения - </w:t>
      </w:r>
      <w:r w:rsidR="001E1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10 </w:t>
      </w:r>
      <w:r w:rsidR="001E122B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1E1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6 </w:t>
      </w:r>
      <w:r w:rsidR="001E122B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15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здания, строения, сооружения;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6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 w:rsidR="009A5349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15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здания, строения, сооружения;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6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5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5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10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границ указанных земельных участков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10,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указанных объектов по всему периметру;</w:t>
      </w:r>
    </w:p>
    <w:p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для садоводческих или огороднических некоммерческих товариществ, а также гаражных кооперативов 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10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 w:rsidR="00757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5 </w:t>
      </w:r>
      <w:r w:rsidR="007570B5" w:rsidRPr="000819E0">
        <w:t xml:space="preserve">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01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их ограждений.</w:t>
      </w:r>
      <w:proofErr w:type="gramEnd"/>
    </w:p>
    <w:p w:rsidR="00F0521F" w:rsidRPr="00F71BCF" w:rsidRDefault="00C76893" w:rsidP="0038772A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21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CA02B3" w:rsidRPr="00F71BCF" w:rsidRDefault="0010225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2B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CA02B3" w:rsidRPr="00F71BCF" w:rsidRDefault="00CA02B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9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6075DC" w:rsidRPr="00E5638D" w:rsidRDefault="006075DC" w:rsidP="00F1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D778B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6075DC" w:rsidRPr="00E5638D" w:rsidRDefault="00786A9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4.6.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 </w:t>
      </w:r>
      <w:r w:rsidR="00D21B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8D153A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0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1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 w:rsidR="00B56FD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2" w:name="_Hlk14965574"/>
    </w:p>
    <w:bookmarkEnd w:id="12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обрабатывать прилегающие территории противогололедными реагентами;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0"/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</w:t>
      </w:r>
      <w:r w:rsidR="004F3F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D4D" w:rsidRPr="00E5638D" w:rsidRDefault="00E90D4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D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7849BD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D611BD" w:rsidRPr="00BD3F59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</w:t>
      </w:r>
      <w:r w:rsidR="000833F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е отсутствия тента или укрытия);</w:t>
      </w:r>
    </w:p>
    <w:p w:rsidR="00D3485D" w:rsidRPr="00D3485D" w:rsidRDefault="000833F2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D3485D" w:rsidRDefault="00D3485D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0833F2" w:rsidRPr="00BD3F59" w:rsidRDefault="000833F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8E7846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0D2F82"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054CCD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 w:rsidR="00950C2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3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3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B20EC0" w:rsidRPr="00E5638D" w:rsidRDefault="00B20EC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внутриквартальной закрытой сетью водостоков;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512092" w:rsidRPr="00F111D3">
        <w:rPr>
          <w:sz w:val="28"/>
          <w:szCs w:val="28"/>
        </w:rPr>
        <w:t>5</w:t>
      </w:r>
      <w:r w:rsidRPr="00F111D3">
        <w:rPr>
          <w:sz w:val="28"/>
          <w:szCs w:val="28"/>
        </w:rPr>
        <w:t>. Особенности организации уборки территории поселения в зимний период</w:t>
      </w:r>
    </w:p>
    <w:p w:rsidR="0042752A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6075DC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 ноября по 15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2752A" w:rsidRPr="00E5638D" w:rsidRDefault="0042752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6075DC" w:rsidRPr="00E5638D" w:rsidRDefault="00161A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171D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F5413" w:rsidRDefault="00EF541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6075DC" w:rsidRPr="00BD3F59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  <w:r w:rsidR="004F0BF4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0A1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4" w:name="6"/>
      <w:bookmarkEnd w:id="14"/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42752A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15" w:name="_Hlk22804048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6" w:name="_Hlk22211020"/>
      <w:bookmarkStart w:id="17" w:name="_Hlk2221120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7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5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Запрещается сбрасывать снег, наледь, сосульки и мусор в воронки водосточных труб.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F607E5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07E5" w:rsidRPr="00E5638D" w:rsidRDefault="00F607E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7E1028" w:rsidRPr="00E5638D" w:rsidRDefault="00411EC6" w:rsidP="0038772A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E1028" w:rsidRPr="00E5638D">
        <w:rPr>
          <w:color w:val="000000" w:themeColor="text1"/>
        </w:rPr>
        <w:t xml:space="preserve"> </w:t>
      </w:r>
    </w:p>
    <w:p w:rsidR="00F607E5" w:rsidRPr="00E5638D" w:rsidRDefault="007E102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7"/>
      <w:bookmarkEnd w:id="18"/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F377FA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 xml:space="preserve">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:rsidR="006075DC" w:rsidRPr="00E5638D" w:rsidRDefault="00F377F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 16 апреля по 31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 1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4A91" w:rsidRPr="00E5638D" w:rsidRDefault="00004A9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1EC6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9" w:name="8"/>
      <w:bookmarkEnd w:id="19"/>
    </w:p>
    <w:p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:rsidR="0019476A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0" w:name="9"/>
      <w:bookmarkEnd w:id="20"/>
    </w:p>
    <w:p w:rsidR="009F4C85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Подметание дворовых территорий,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411EC6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6075DC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6075DC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BD3F59" w:rsidRPr="00E5638D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10"/>
      <w:bookmarkEnd w:id="21"/>
      <w:r w:rsidRPr="00F111D3">
        <w:rPr>
          <w:sz w:val="28"/>
          <w:szCs w:val="28"/>
        </w:rPr>
        <w:t xml:space="preserve">Глава </w:t>
      </w:r>
      <w:r w:rsidR="009D1A6E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 xml:space="preserve">. Обеспечение надлежащего содержания объектов благоустройства </w:t>
      </w:r>
    </w:p>
    <w:p w:rsidR="00B7064F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13FE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01459" w:rsidRPr="00E5638D" w:rsidRDefault="004014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C84679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300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белом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черная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черном цвете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90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140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2" w:name="_Hlk1496717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2"/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 2,5 до 5,0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1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23" w:name="_Hlk14967236"/>
    </w:p>
    <w:bookmarkEnd w:id="23"/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0,6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вертикали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0,4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более 0,1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второго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0,5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2,5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973E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A0B47" w:rsidRPr="00E5638D" w:rsidRDefault="00446BD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0,8 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3-5-этажных объектов.</w:t>
      </w:r>
    </w:p>
    <w:p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6,5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полное или частичное изменение фасадов, а именно: окраска фасадов, произвольное изменение цветового решения фасада здания, сооружения, нанесение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рисунка, изменение толщины переплетов и других элементов фасадов при размещении, эксплуатации, ремонте вывески;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с помощью демонстрации постеров на динамических системах смены изображений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роллерные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0B4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 суток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6075DC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Установка ограждений, изготовленных из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сетки-рабицы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C31A69" w:rsidRPr="00E5638D" w:rsidRDefault="00C31A6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BF1785" w:rsidRPr="00BF1785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="00EC04BD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75DC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проектировании 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мини-маркетов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E716E2" w:rsidRPr="00F111D3">
        <w:rPr>
          <w:sz w:val="28"/>
          <w:szCs w:val="28"/>
        </w:rPr>
        <w:t>8</w:t>
      </w:r>
      <w:r w:rsidRPr="00F111D3">
        <w:rPr>
          <w:sz w:val="28"/>
          <w:szCs w:val="28"/>
        </w:rPr>
        <w:t>. Организация пешеходных коммуникаций, в том числе трот</w:t>
      </w:r>
      <w:r w:rsidR="00F111D3" w:rsidRPr="00F111D3">
        <w:rPr>
          <w:sz w:val="28"/>
          <w:szCs w:val="28"/>
        </w:rPr>
        <w:t>уаров, аллей, дорожек, тропинок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С целью создания комфортной среды для пешеходов пешеходные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Для проектирования и (или) благоустройства пешеходной зоны возможно проведение осмотра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9</w:t>
      </w:r>
      <w:r w:rsidRPr="00F111D3">
        <w:rPr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Проектирование путей движения маломобильных групп населения, входных гру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средствами или укрывать такие поверхности противоскользящими материалами.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10</w:t>
      </w:r>
      <w:r w:rsidRPr="00F111D3">
        <w:rPr>
          <w:sz w:val="28"/>
          <w:szCs w:val="28"/>
        </w:rPr>
        <w:t>. Детские и спортивные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общественных и дворовых территориях населенного пункта поселения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скейт-площадки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непрерывности развивающего воздействия допускается комбинировать на дворовых территориях детские игровые площадки и детские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512092" w:rsidRPr="0094120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proofErr w:type="gramStart"/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11</w:t>
      </w:r>
      <w:r w:rsidRPr="00F111D3">
        <w:rPr>
          <w:sz w:val="28"/>
          <w:szCs w:val="28"/>
        </w:rPr>
        <w:t>. Парковки (парковочные места)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 общественных и дворовых территориях населенного пункта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спортивные организации, организации культуры и другие организации), объектам рекреации;</w:t>
      </w:r>
      <w:proofErr w:type="gramEnd"/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</w:t>
      </w:r>
      <w:r w:rsidR="00512092" w:rsidRPr="00144A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.11.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</w:t>
      </w:r>
      <w:r w:rsidR="00144A8C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</w:t>
      </w:r>
      <w:r w:rsidR="00512092" w:rsidRPr="00144A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.12.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A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</w:t>
      </w:r>
      <w:r w:rsidR="00512092" w:rsidRPr="00144A8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.13.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lastRenderedPageBreak/>
        <w:t xml:space="preserve">Глава </w:t>
      </w:r>
      <w:r w:rsidR="00AE3402" w:rsidRPr="00F111D3">
        <w:rPr>
          <w:sz w:val="28"/>
          <w:szCs w:val="28"/>
        </w:rPr>
        <w:t>12</w:t>
      </w:r>
      <w:r w:rsidRPr="00F111D3">
        <w:rPr>
          <w:sz w:val="28"/>
          <w:szCs w:val="28"/>
        </w:rPr>
        <w:t>. Площадки для выгула животных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600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1,5 м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:rsidR="00BD3F59" w:rsidRPr="00E5638D" w:rsidRDefault="00BD3F59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CD06F3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3</w:t>
      </w:r>
      <w:r w:rsidRPr="00F111D3">
        <w:rPr>
          <w:sz w:val="28"/>
          <w:szCs w:val="28"/>
        </w:rPr>
        <w:t>. Посадка зелёных насаждений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4" w:name="_Hlk7527352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дорожно-тропиночной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4"/>
    <w:p w:rsidR="00707ABF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7AB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075DC" w:rsidRPr="00E5638D" w:rsidRDefault="006075DC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4</w:t>
      </w:r>
      <w:r w:rsidRPr="00F111D3">
        <w:rPr>
          <w:sz w:val="28"/>
          <w:szCs w:val="28"/>
        </w:rPr>
        <w:t>. Восстановление зелёных насаждений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6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6075DC" w:rsidRPr="00696B6C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6"/>
    <w:p w:rsidR="00584DD2" w:rsidRPr="00F111D3" w:rsidRDefault="00584DD2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>Глава 1</w:t>
      </w:r>
      <w:r w:rsidR="00BD3F59" w:rsidRPr="00696B6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. Мероприятия по выявлению ядовитых и </w:t>
      </w:r>
      <w:r w:rsidR="00113F61"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ядовитых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4F6F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DA3995" w:rsidRPr="00E5638D" w:rsidRDefault="00584DD2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590627" w:rsidRPr="00E5638D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8F0" w:rsidRPr="00F111D3" w:rsidRDefault="00E948F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Места (площадки) накопления твердых коммунальных отходов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</w:t>
      </w:r>
      <w:r w:rsidR="001137C6" w:rsidRPr="00E5638D">
        <w:rPr>
          <w:rStyle w:val="afb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="00612BAE" w:rsidRPr="00E5638D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5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5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накоплении твердых коммунальных отходов, в том числе при раздельном сборе отходов, владельцем контейнерной и (или) специальной площадки должна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быть исключена возможность попадания отходов из мусоросборников на контейнерную площадку.</w:t>
      </w:r>
    </w:p>
    <w:p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948F0" w:rsidRPr="00E5638D" w:rsidRDefault="00411EC6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CE4A88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35C" w:rsidRPr="00F111D3" w:rsidRDefault="0021435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8E21DB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Выпас и прогон сельскохозяйственных животных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обсуждения и согласования дат начала и окончания выпаса в поселении, маршрутов и времени прогона и выпаса сельскохозяйственных животных по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оставлять на автомобильной дороге сельскохозяйственных животных без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надзора;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2D4" w:rsidRDefault="008662D4" w:rsidP="0038772A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1DB" w:rsidRPr="00F111D3" w:rsidRDefault="008E21DB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BD3F59" w:rsidRPr="00F111D3">
        <w:rPr>
          <w:sz w:val="28"/>
          <w:szCs w:val="28"/>
        </w:rPr>
        <w:t>18</w:t>
      </w:r>
      <w:r w:rsidRPr="00F111D3">
        <w:rPr>
          <w:sz w:val="28"/>
          <w:szCs w:val="28"/>
        </w:rPr>
        <w:t>. Праздничное оформление территории поселения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государственные и муниципальные флаги, государственная и муниципальная символика;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E01242" w:rsidRDefault="008E21DB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C749A4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908" w:rsidRPr="00C749A4" w:rsidRDefault="00F57908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1242" w:rsidRPr="00C749A4" w:rsidRDefault="00E01242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 w:rsidR="004B0796"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:rsidR="00E01242" w:rsidRPr="00E01242" w:rsidRDefault="004B0796" w:rsidP="00DD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="00E01242"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:rsidR="00E01242" w:rsidRPr="0062340A" w:rsidRDefault="004B0796" w:rsidP="006234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 xml:space="preserve">.2.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 w:rsidR="00DD0E5D"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№ 248-ФЗ «О государственном контроле (надзоре) и муниципальном контроле в Российской Федерации», решением </w:t>
      </w:r>
      <w:r w:rsidR="00F56E89" w:rsidRPr="00F56E8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депутатов</w:t>
      </w:r>
      <w:r w:rsidR="00F56E8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Угранского сельского поселения  Угранского района   Смоленской    </w:t>
      </w:r>
      <w:r w:rsidR="00F56E89" w:rsidRPr="00F56E89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</w:t>
      </w:r>
      <w:r w:rsidR="00F56E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F56E89">
        <w:rPr>
          <w:rFonts w:ascii="Times New Roman" w:hAnsi="Times New Roman" w:cs="Times New Roman"/>
          <w:color w:val="000000"/>
          <w:sz w:val="28"/>
          <w:szCs w:val="20"/>
        </w:rPr>
        <w:t xml:space="preserve">от10.12.2021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года № </w:t>
      </w:r>
      <w:r w:rsidR="00F56E89">
        <w:rPr>
          <w:rFonts w:ascii="Times New Roman" w:hAnsi="Times New Roman" w:cs="Times New Roman"/>
          <w:color w:val="000000"/>
          <w:sz w:val="28"/>
          <w:szCs w:val="20"/>
        </w:rPr>
        <w:t>119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«Об утверждении Положения о муниципальном контроле в сфере благоустройства на территории </w:t>
      </w:r>
      <w:r w:rsidR="00F56E89">
        <w:rPr>
          <w:rFonts w:ascii="Times New Roman" w:hAnsi="Times New Roman" w:cs="Times New Roman"/>
          <w:color w:val="000000"/>
          <w:sz w:val="28"/>
          <w:szCs w:val="20"/>
        </w:rPr>
        <w:t xml:space="preserve">муниципального образования Угранского сельского </w:t>
      </w:r>
      <w:r w:rsidR="00F56E89">
        <w:rPr>
          <w:rFonts w:ascii="Times New Roman" w:hAnsi="Times New Roman" w:cs="Times New Roman"/>
          <w:color w:val="000000"/>
          <w:sz w:val="28"/>
          <w:szCs w:val="20"/>
        </w:rPr>
        <w:lastRenderedPageBreak/>
        <w:t>поселения Угранского района 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» на</w:t>
      </w:r>
      <w:r w:rsidR="00F56E8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территории </w:t>
      </w:r>
      <w:r w:rsidR="007570B5">
        <w:rPr>
          <w:rFonts w:ascii="Times New Roman" w:hAnsi="Times New Roman" w:cs="Times New Roman"/>
          <w:color w:val="000000"/>
          <w:sz w:val="28"/>
          <w:szCs w:val="20"/>
        </w:rPr>
        <w:t>Угранского сельского</w:t>
      </w:r>
      <w:proofErr w:type="gramEnd"/>
      <w:r w:rsidR="007570B5">
        <w:rPr>
          <w:rFonts w:ascii="Times New Roman" w:hAnsi="Times New Roman" w:cs="Times New Roman"/>
          <w:color w:val="000000"/>
          <w:sz w:val="28"/>
          <w:szCs w:val="20"/>
        </w:rPr>
        <w:t xml:space="preserve"> поселения </w:t>
      </w:r>
      <w:r w:rsidR="0062340A">
        <w:rPr>
          <w:rFonts w:ascii="Times New Roman" w:hAnsi="Times New Roman" w:cs="Times New Roman"/>
          <w:color w:val="000000"/>
          <w:sz w:val="28"/>
          <w:szCs w:val="20"/>
        </w:rPr>
        <w:t xml:space="preserve">Угранского района </w:t>
      </w:r>
      <w:r w:rsidR="007570B5">
        <w:rPr>
          <w:rFonts w:ascii="Times New Roman" w:hAnsi="Times New Roman" w:cs="Times New Roman"/>
          <w:color w:val="000000"/>
          <w:sz w:val="28"/>
          <w:szCs w:val="20"/>
        </w:rPr>
        <w:t>Смоленской области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осуществляется муниципальный</w:t>
      </w:r>
      <w:r w:rsidR="0062340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контроль в сфере благоустройства.</w:t>
      </w:r>
    </w:p>
    <w:p w:rsidR="00E01242" w:rsidRPr="00E01242" w:rsidRDefault="004B0796" w:rsidP="00DD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>.3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01242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40A" w:rsidRDefault="0062340A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40A" w:rsidRDefault="0062340A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40A" w:rsidRDefault="0062340A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40A" w:rsidRDefault="0062340A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40A" w:rsidRDefault="0062340A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340A" w:rsidRDefault="0062340A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761" w:rsidRDefault="006E6761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7D07" w:rsidRPr="00696B6C" w:rsidRDefault="00817D07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E6761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17D07" w:rsidRPr="00696B6C" w:rsidRDefault="00817D07" w:rsidP="0062340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 xml:space="preserve">к </w:t>
      </w:r>
      <w:r w:rsidR="005F388C" w:rsidRPr="00696B6C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696B6C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62340A" w:rsidRDefault="0062340A" w:rsidP="0062340A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2340A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Угранского сельского поселения Угранского района Смоленской области</w:t>
      </w:r>
    </w:p>
    <w:p w:rsidR="0062340A" w:rsidRPr="00E5638D" w:rsidRDefault="00696B6C" w:rsidP="0062340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>утвержденным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96B6C">
        <w:rPr>
          <w:rFonts w:ascii="Times New Roman" w:hAnsi="Times New Roman" w:cs="Times New Roman"/>
          <w:sz w:val="24"/>
          <w:szCs w:val="24"/>
        </w:rPr>
        <w:t xml:space="preserve"> </w:t>
      </w:r>
      <w:r w:rsidR="0062340A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Совета депутатов Угранского сельского поселения Угранского района Смоленской области</w:t>
      </w:r>
    </w:p>
    <w:p w:rsidR="00696B6C" w:rsidRPr="00696B6C" w:rsidRDefault="00696B6C" w:rsidP="0062340A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от </w:t>
      </w:r>
      <w:r w:rsidR="006E6761">
        <w:rPr>
          <w:rFonts w:ascii="Times New Roman" w:hAnsi="Times New Roman" w:cs="Times New Roman"/>
          <w:sz w:val="24"/>
          <w:szCs w:val="24"/>
          <w:vertAlign w:val="superscript"/>
        </w:rPr>
        <w:t>______</w:t>
      </w:r>
      <w:r w:rsidR="0062340A">
        <w:rPr>
          <w:rFonts w:ascii="Times New Roman" w:hAnsi="Times New Roman" w:cs="Times New Roman"/>
          <w:sz w:val="24"/>
          <w:szCs w:val="24"/>
          <w:vertAlign w:val="superscript"/>
        </w:rPr>
        <w:t>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 № </w:t>
      </w:r>
      <w:r w:rsidR="0062340A">
        <w:rPr>
          <w:rFonts w:ascii="Times New Roman" w:hAnsi="Times New Roman" w:cs="Times New Roman"/>
          <w:sz w:val="24"/>
          <w:szCs w:val="24"/>
          <w:vertAlign w:val="superscript"/>
        </w:rPr>
        <w:t>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</w:p>
    <w:p w:rsidR="006E6761" w:rsidRDefault="006E6761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61" w:rsidRDefault="006E6761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D07" w:rsidRPr="006E6761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6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17D07" w:rsidRPr="006E6761" w:rsidRDefault="00817D07" w:rsidP="00623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61">
        <w:rPr>
          <w:rFonts w:ascii="Times New Roman" w:hAnsi="Times New Roman" w:cs="Times New Roman"/>
          <w:b/>
          <w:sz w:val="28"/>
          <w:szCs w:val="28"/>
        </w:rPr>
        <w:t>СВОДОВ ПРАВИЛ, НАЦИОНАЛЬНЫХ СТАНДАРТОВ И ТЕХНИЧЕСКИХ</w:t>
      </w:r>
    </w:p>
    <w:p w:rsidR="0062340A" w:rsidRPr="006E6761" w:rsidRDefault="00817D07" w:rsidP="00623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61">
        <w:rPr>
          <w:rFonts w:ascii="Times New Roman" w:hAnsi="Times New Roman" w:cs="Times New Roman"/>
          <w:b/>
          <w:sz w:val="28"/>
          <w:szCs w:val="28"/>
        </w:rPr>
        <w:t xml:space="preserve">РЕГЛАМЕНТОВ, </w:t>
      </w:r>
      <w:r w:rsidR="005F388C" w:rsidRPr="006E6761">
        <w:rPr>
          <w:rFonts w:ascii="Times New Roman" w:hAnsi="Times New Roman" w:cs="Times New Roman"/>
          <w:b/>
          <w:sz w:val="28"/>
          <w:szCs w:val="28"/>
        </w:rPr>
        <w:t xml:space="preserve">ПРИМЕНЯЕМЫХ ПРИ РАЗРАБОТКЕ </w:t>
      </w:r>
      <w:r w:rsidRPr="006E6761">
        <w:rPr>
          <w:rFonts w:ascii="Times New Roman" w:hAnsi="Times New Roman" w:cs="Times New Roman"/>
          <w:b/>
          <w:sz w:val="28"/>
          <w:szCs w:val="28"/>
        </w:rPr>
        <w:t>НОРМ И ПРАВИЛ ПО БЛАГОУСТРОЙСТВУ ТЕРРИТОРИ</w:t>
      </w:r>
      <w:r w:rsidR="005F388C" w:rsidRPr="006E6761">
        <w:rPr>
          <w:rFonts w:ascii="Times New Roman" w:hAnsi="Times New Roman" w:cs="Times New Roman"/>
          <w:b/>
          <w:sz w:val="28"/>
          <w:szCs w:val="28"/>
        </w:rPr>
        <w:t>И</w:t>
      </w:r>
    </w:p>
    <w:p w:rsidR="0062340A" w:rsidRPr="006E6761" w:rsidRDefault="0062340A" w:rsidP="00623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76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Угранского сельского поселения Угранского района Смоленской области</w:t>
      </w:r>
    </w:p>
    <w:p w:rsidR="00817D07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</w:p>
    <w:p w:rsidR="00817D07" w:rsidRPr="00817D07" w:rsidRDefault="005F388C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«СНиП 2.07.01-89* Градостроительство. Планировка и застройка городских и сельских поселений»;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СНиП III-10-75»;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СНиП 3.02.01-87»;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СНиП 12-01-2004»;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маломобильных групп населения. СНиП 35-01-2001»;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маломобильных групп населения»;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СНиП 2.04.03-85»;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СНиП 2.04.02-84*»;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СНиП 41-02-2003»;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СНиП 2.05.02-85*»;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СНиП 23-05-95*»;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СНиП 23-02-2003»;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СНиП 23-03-2003»;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СНиП 31-06-2009»;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СНиП 31-01-2003»;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СНиП 21-02-99*»;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СНиП 2.05.03-84*»;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СНиП 2.06.09-84»;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СНиП 33-01-2003»;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СНиП 2.06.05-84*»;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СНиП 2.06.06-85»;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СНиП 2.06.08-87»;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СНиП 2.06.07-87»;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СНиП 32-04-97»;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СНиП 23-01-99*»;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2.1.3684-21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испытаний каруселей»;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F5413" w:rsidRPr="00817D07" w:rsidRDefault="00EF5413" w:rsidP="00EF5413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природы. Земли. Требования к определению норм снятия плодородного слоя почвы при производстве земляных работ»;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:rsidR="00817D07" w:rsidRPr="00817D07" w:rsidRDefault="0088208D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3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:rsidR="00CA5ED6" w:rsidRPr="00817D07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GoBack"/>
      <w:bookmarkEnd w:id="26"/>
    </w:p>
    <w:sectPr w:rsidR="00CA5ED6" w:rsidRPr="00817D07" w:rsidSect="0062340A">
      <w:headerReference w:type="even" r:id="rId94"/>
      <w:headerReference w:type="default" r:id="rId95"/>
      <w:pgSz w:w="11906" w:h="16838"/>
      <w:pgMar w:top="1135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C1" w:rsidRDefault="00A046C1" w:rsidP="00F271B1">
      <w:pPr>
        <w:spacing w:after="0" w:line="240" w:lineRule="auto"/>
      </w:pPr>
      <w:r>
        <w:separator/>
      </w:r>
    </w:p>
  </w:endnote>
  <w:endnote w:type="continuationSeparator" w:id="0">
    <w:p w:rsidR="00A046C1" w:rsidRDefault="00A046C1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C1" w:rsidRDefault="00A046C1" w:rsidP="00F271B1">
      <w:pPr>
        <w:spacing w:after="0" w:line="240" w:lineRule="auto"/>
      </w:pPr>
      <w:r>
        <w:separator/>
      </w:r>
    </w:p>
  </w:footnote>
  <w:footnote w:type="continuationSeparator" w:id="0">
    <w:p w:rsidR="00A046C1" w:rsidRDefault="00A046C1" w:rsidP="00F271B1">
      <w:pPr>
        <w:spacing w:after="0" w:line="240" w:lineRule="auto"/>
      </w:pPr>
      <w:r>
        <w:continuationSeparator/>
      </w:r>
    </w:p>
  </w:footnote>
  <w:footnote w:id="1">
    <w:p w:rsidR="00E66E3C" w:rsidRDefault="00E66E3C" w:rsidP="00144A8C">
      <w:pPr>
        <w:pStyle w:val="af9"/>
        <w:jc w:val="both"/>
      </w:pPr>
      <w:r>
        <w:rPr>
          <w:rStyle w:val="afb"/>
        </w:rPr>
        <w:footnoteRef/>
      </w:r>
      <w:r>
        <w:t xml:space="preserve"> Пункты 11.11-11.13 применимы для городских округов и крупных административных центров муниципальных районов. </w:t>
      </w:r>
    </w:p>
  </w:footnote>
  <w:footnote w:id="2">
    <w:p w:rsidR="00E66E3C" w:rsidRPr="001137C6" w:rsidRDefault="00E66E3C" w:rsidP="001137C6">
      <w:pPr>
        <w:pStyle w:val="af9"/>
        <w:jc w:val="both"/>
        <w:rPr>
          <w:sz w:val="24"/>
          <w:szCs w:val="24"/>
        </w:rPr>
      </w:pPr>
      <w:r w:rsidRPr="001137C6">
        <w:rPr>
          <w:rStyle w:val="afb"/>
          <w:sz w:val="24"/>
          <w:szCs w:val="24"/>
        </w:rPr>
        <w:footnoteRef/>
      </w:r>
      <w:r w:rsidRPr="001137C6">
        <w:rPr>
          <w:sz w:val="24"/>
          <w:szCs w:val="24"/>
        </w:rPr>
        <w:t xml:space="preserve"> Если в поселении используется так называемый «</w:t>
      </w:r>
      <w:proofErr w:type="spellStart"/>
      <w:r w:rsidRPr="001137C6">
        <w:rPr>
          <w:sz w:val="24"/>
          <w:szCs w:val="24"/>
        </w:rPr>
        <w:t>поведёрный</w:t>
      </w:r>
      <w:proofErr w:type="spellEnd"/>
      <w:r w:rsidRPr="001137C6">
        <w:rPr>
          <w:sz w:val="24"/>
          <w:szCs w:val="24"/>
        </w:rPr>
        <w:t>» способ</w:t>
      </w:r>
      <w:r>
        <w:rPr>
          <w:sz w:val="24"/>
          <w:szCs w:val="24"/>
        </w:rPr>
        <w:t xml:space="preserve"> сбора</w:t>
      </w:r>
      <w:r w:rsidRPr="001137C6">
        <w:rPr>
          <w:sz w:val="24"/>
          <w:szCs w:val="24"/>
        </w:rPr>
        <w:t xml:space="preserve"> мусора, то данный абзац может быть изложен следующим образом:</w:t>
      </w:r>
    </w:p>
    <w:p w:rsidR="00E66E3C" w:rsidRPr="001137C6" w:rsidRDefault="00E66E3C" w:rsidP="001137C6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«Складирование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E66E3C" w:rsidRPr="001137C6" w:rsidRDefault="00E66E3C" w:rsidP="001137C6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а) в контейнеры, расположенные на контейнерных площадках;</w:t>
      </w:r>
    </w:p>
    <w:p w:rsidR="00E66E3C" w:rsidRDefault="00E66E3C" w:rsidP="001137C6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r w:rsidRPr="003C30B3">
        <w:rPr>
          <w:bCs/>
          <w:color w:val="000000"/>
          <w:sz w:val="24"/>
          <w:szCs w:val="24"/>
        </w:rPr>
        <w:t>Смоленской области</w:t>
      </w:r>
      <w:r w:rsidRPr="001137C6">
        <w:rPr>
          <w:sz w:val="24"/>
          <w:szCs w:val="24"/>
        </w:rPr>
        <w:t xml:space="preserve"> (далее - децентрализованный способ).</w:t>
      </w:r>
    </w:p>
    <w:p w:rsidR="00E66E3C" w:rsidRPr="001137C6" w:rsidRDefault="00E66E3C" w:rsidP="001137C6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 поселения.</w:t>
      </w:r>
    </w:p>
    <w:p w:rsidR="00E66E3C" w:rsidRPr="001137C6" w:rsidRDefault="00E66E3C" w:rsidP="001137C6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1137C6">
        <w:rPr>
          <w:sz w:val="24"/>
          <w:szCs w:val="24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1137C6">
        <w:rPr>
          <w:sz w:val="24"/>
          <w:szCs w:val="24"/>
        </w:rPr>
        <w:t xml:space="preserve"> </w:t>
      </w:r>
      <w:r w:rsidRPr="003C30B3">
        <w:rPr>
          <w:bCs/>
          <w:color w:val="000000"/>
          <w:sz w:val="24"/>
          <w:szCs w:val="24"/>
        </w:rPr>
        <w:t>Смоленской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1137C6">
        <w:rPr>
          <w:sz w:val="24"/>
          <w:szCs w:val="24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E66E3C" w:rsidRPr="001137C6" w:rsidRDefault="00E66E3C" w:rsidP="001137C6">
      <w:pPr>
        <w:pStyle w:val="af9"/>
        <w:jc w:val="both"/>
        <w:rPr>
          <w:sz w:val="24"/>
          <w:szCs w:val="24"/>
        </w:rPr>
      </w:pPr>
      <w:r w:rsidRPr="001137C6">
        <w:rPr>
          <w:sz w:val="24"/>
          <w:szCs w:val="24"/>
        </w:rPr>
        <w:t xml:space="preserve">Изменение децентрализованного способа накопления на способ, указанный в абзаце третьем </w:t>
      </w:r>
      <w:r>
        <w:rPr>
          <w:sz w:val="24"/>
          <w:szCs w:val="24"/>
        </w:rPr>
        <w:t xml:space="preserve">данного </w:t>
      </w:r>
      <w:r w:rsidRPr="001137C6">
        <w:rPr>
          <w:sz w:val="24"/>
          <w:szCs w:val="24"/>
        </w:rPr>
        <w:t>пункта настоящих Правил, осуществляется путем создания контейнерных площадок и размещения на них контейнеров и бункеров</w:t>
      </w:r>
      <w:proofErr w:type="gramStart"/>
      <w:r w:rsidRPr="001137C6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3C" w:rsidRDefault="0088208D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6E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66E3C" w:rsidRDefault="00E66E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3C" w:rsidRDefault="0088208D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66E3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25EF">
      <w:rPr>
        <w:rStyle w:val="ab"/>
        <w:noProof/>
      </w:rPr>
      <w:t>54</w:t>
    </w:r>
    <w:r>
      <w:rPr>
        <w:rStyle w:val="ab"/>
      </w:rPr>
      <w:fldChar w:fldCharType="end"/>
    </w:r>
  </w:p>
  <w:p w:rsidR="00E66E3C" w:rsidRDefault="00E66E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01BF1"/>
    <w:rsid w:val="000044D5"/>
    <w:rsid w:val="00004A91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E2287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100A82"/>
    <w:rsid w:val="0010225A"/>
    <w:rsid w:val="00106F94"/>
    <w:rsid w:val="00107DAD"/>
    <w:rsid w:val="00110F34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A8C"/>
    <w:rsid w:val="00144E8D"/>
    <w:rsid w:val="00145BF6"/>
    <w:rsid w:val="00146738"/>
    <w:rsid w:val="00146A52"/>
    <w:rsid w:val="001472FB"/>
    <w:rsid w:val="0015034D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30"/>
    <w:rsid w:val="001A18A4"/>
    <w:rsid w:val="001A3A6C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C42F3"/>
    <w:rsid w:val="001D1223"/>
    <w:rsid w:val="001D1631"/>
    <w:rsid w:val="001D24FA"/>
    <w:rsid w:val="001D4585"/>
    <w:rsid w:val="001D778B"/>
    <w:rsid w:val="001D7F95"/>
    <w:rsid w:val="001E0D71"/>
    <w:rsid w:val="001E0EAB"/>
    <w:rsid w:val="001E122B"/>
    <w:rsid w:val="001E3A49"/>
    <w:rsid w:val="001F0D3E"/>
    <w:rsid w:val="001F1127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6297"/>
    <w:rsid w:val="00240A45"/>
    <w:rsid w:val="00240C3D"/>
    <w:rsid w:val="00242343"/>
    <w:rsid w:val="002471A8"/>
    <w:rsid w:val="0025004B"/>
    <w:rsid w:val="00250972"/>
    <w:rsid w:val="0025263A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6CB1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0FE"/>
    <w:rsid w:val="002F0DDD"/>
    <w:rsid w:val="002F162B"/>
    <w:rsid w:val="002F1873"/>
    <w:rsid w:val="002F365B"/>
    <w:rsid w:val="002F4833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2E18"/>
    <w:rsid w:val="003F4AA4"/>
    <w:rsid w:val="003F545B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79F"/>
    <w:rsid w:val="004171AA"/>
    <w:rsid w:val="0041780F"/>
    <w:rsid w:val="004206B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65C"/>
    <w:rsid w:val="00445984"/>
    <w:rsid w:val="00445DC9"/>
    <w:rsid w:val="00446517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3B24"/>
    <w:rsid w:val="00494A81"/>
    <w:rsid w:val="0049518C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2092"/>
    <w:rsid w:val="00513F87"/>
    <w:rsid w:val="0051738B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44C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340A"/>
    <w:rsid w:val="0062550E"/>
    <w:rsid w:val="00625849"/>
    <w:rsid w:val="00626AA2"/>
    <w:rsid w:val="00634987"/>
    <w:rsid w:val="00641FC0"/>
    <w:rsid w:val="006423AA"/>
    <w:rsid w:val="0064392B"/>
    <w:rsid w:val="00643A3F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6761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570B5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E95"/>
    <w:rsid w:val="00880647"/>
    <w:rsid w:val="0088208D"/>
    <w:rsid w:val="008838F7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C273F"/>
    <w:rsid w:val="008C501D"/>
    <w:rsid w:val="008C505C"/>
    <w:rsid w:val="008C65D2"/>
    <w:rsid w:val="008C71D2"/>
    <w:rsid w:val="008C79B7"/>
    <w:rsid w:val="008D153A"/>
    <w:rsid w:val="008D17F3"/>
    <w:rsid w:val="008D2928"/>
    <w:rsid w:val="008D3E0B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6D40"/>
    <w:rsid w:val="00972643"/>
    <w:rsid w:val="00973EF6"/>
    <w:rsid w:val="009741A3"/>
    <w:rsid w:val="00977D47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6C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72BD"/>
    <w:rsid w:val="00A8007B"/>
    <w:rsid w:val="00A801D4"/>
    <w:rsid w:val="00A813FE"/>
    <w:rsid w:val="00A83DA3"/>
    <w:rsid w:val="00A90292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4624"/>
    <w:rsid w:val="00B67B68"/>
    <w:rsid w:val="00B7064F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3F59"/>
    <w:rsid w:val="00BD62E7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0A5C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25EF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2AA7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7970"/>
    <w:rsid w:val="00D10596"/>
    <w:rsid w:val="00D1161B"/>
    <w:rsid w:val="00D11D80"/>
    <w:rsid w:val="00D15E71"/>
    <w:rsid w:val="00D21B46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365D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6C"/>
    <w:rsid w:val="00E008CA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6E3C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6E89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586F"/>
    <w:rsid w:val="00F973DE"/>
    <w:rsid w:val="00FA0CE3"/>
    <w:rsid w:val="00FA18B1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2557"/>
    <w:rsid w:val="00FC304E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1E93"/>
    <w:rsid w:val="00FF2444"/>
    <w:rsid w:val="00FF37BE"/>
    <w:rsid w:val="00FF6021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C5B5F7DD45C726BF92B40F425F40577517F47A23F11D702AB7C82a6HAL" TargetMode="External"/><Relationship Id="rId21" Type="http://schemas.openxmlformats.org/officeDocument/2006/relationships/hyperlink" Target="consultantplus://offline/ref=F4E544E0851FF722673DBDC04B582BD5585A5E587ED45C726BF92B40F425F40577517F47A23F11D702AB7C82a6HAL" TargetMode="External"/><Relationship Id="rId34" Type="http://schemas.openxmlformats.org/officeDocument/2006/relationships/hyperlink" Target="consultantplus://offline/ref=F4E544E0851FF722673DBDC04B582BD5585E59597BD45C726BF92B40F425F40577517F47A23F11D702AB7C82a6HAL" TargetMode="External"/><Relationship Id="rId42" Type="http://schemas.openxmlformats.org/officeDocument/2006/relationships/hyperlink" Target="consultantplus://offline/ref=F4E544E0851FF722673DBDC04B582BD5585C5A5C7DD45C726BF92B40F425F40577517F47A23F11D702AB7C82a6HAL" TargetMode="External"/><Relationship Id="rId47" Type="http://schemas.openxmlformats.org/officeDocument/2006/relationships/hyperlink" Target="consultantplus://offline/ref=F4E544E0851FF722673DBDC04B582BD55B5D5B597FD45C726BF92B40F425F40577517F47A23F11D702AB7C82a6HAL" TargetMode="External"/><Relationship Id="rId50" Type="http://schemas.openxmlformats.org/officeDocument/2006/relationships/hyperlink" Target="consultantplus://offline/ref=F4E544E0851FF722673DBDC04B582BD5585D525E7ED45C726BF92B40F425F40577517F47A23F11D702AB7C82a6HAL" TargetMode="External"/><Relationship Id="rId55" Type="http://schemas.openxmlformats.org/officeDocument/2006/relationships/hyperlink" Target="consultantplus://offline/ref=F4E544E0851FF722673DA1C057582BD55B5A585778D45C726BF92B40F425F40577517F47A23F11D702AB7C82a6HAL" TargetMode="External"/><Relationship Id="rId63" Type="http://schemas.openxmlformats.org/officeDocument/2006/relationships/hyperlink" Target="consultantplus://offline/ref=F4E544E0851FF722673DBDC04B582BD5585C5F5B7BD45C726BF92B40F425F40577517F47A23F11D702AB7C82a6HAL" TargetMode="External"/><Relationship Id="rId68" Type="http://schemas.openxmlformats.org/officeDocument/2006/relationships/hyperlink" Target="consultantplus://offline/ref=F4E544E0851FF722673DBDC04B582BD55B515D5E79D45C726BF92B40F425F40577517F47A23F11D702AB7C82a6HAL" TargetMode="External"/><Relationship Id="rId76" Type="http://schemas.openxmlformats.org/officeDocument/2006/relationships/hyperlink" Target="consultantplus://offline/ref=F4E544E0851FF722673DA1C057582BD5585E5B5C7389567A32F52947FB7AF11066097044BD2113CB1EA97Ea8H2L" TargetMode="External"/><Relationship Id="rId84" Type="http://schemas.openxmlformats.org/officeDocument/2006/relationships/hyperlink" Target="consultantplus://offline/ref=F4E544E0851FF722673DBDC04B582BD5585E5B5771D45C726BF92B40F425F40577517F47A23F11D702AB7C82a6HAL" TargetMode="External"/><Relationship Id="rId89" Type="http://schemas.openxmlformats.org/officeDocument/2006/relationships/hyperlink" Target="consultantplus://offline/ref=F4E544E0851FF722673DBDC04B582BD5585A5E597DD45C726BF92B40F425F40577517F47A23F11D702AB7C82a6HAL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4E544E0851FF722673DA2D54E582BD5595D535A7ED9017863A02742F32AAB0062402748A1200FD51EB77E806Aa2H0L" TargetMode="External"/><Relationship Id="rId92" Type="http://schemas.openxmlformats.org/officeDocument/2006/relationships/hyperlink" Target="consultantplus://offline/ref=F4E544E0851FF722673DA1C057582BD55D5A5A577389567A32F52947FB7AF11066097044BD2113CB1EA97Ea8H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F5D5A70D45C726BF92B40F425F40577517F47A23F11D702AB7C82a6HAL" TargetMode="External"/><Relationship Id="rId29" Type="http://schemas.openxmlformats.org/officeDocument/2006/relationships/hyperlink" Target="consultantplus://offline/ref=F4E544E0851FF722673DBDC04B582BD5585D525E7FD45C726BF92B40F425F40577517F47A23F11D702AB7C82a6HAL" TargetMode="External"/><Relationship Id="rId11" Type="http://schemas.openxmlformats.org/officeDocument/2006/relationships/hyperlink" Target="consultantplus://offline/ref=F4E544E0851FF722673DBDC04B582BD5585C585A7CD45C726BF92B40F425F40577517F47A23F11D702AB7C82a6HAL" TargetMode="External"/><Relationship Id="rId24" Type="http://schemas.openxmlformats.org/officeDocument/2006/relationships/hyperlink" Target="consultantplus://offline/ref=F4E544E0851FF722673DBDC04B582BD5585C5B587BD45C726BF92B40F425F40577517F47A23F11D702AB7C82a6HAL" TargetMode="External"/><Relationship Id="rId32" Type="http://schemas.openxmlformats.org/officeDocument/2006/relationships/hyperlink" Target="consultantplus://offline/ref=F4E544E0851FF722673DBDC04B582BD5585C5B5F7CD45C726BF92B40F425F40577517F47A23F11D702AB7C82a6HAL" TargetMode="External"/><Relationship Id="rId37" Type="http://schemas.openxmlformats.org/officeDocument/2006/relationships/hyperlink" Target="consultantplus://offline/ref=F4E544E0851FF722673DBDC04B582BD5585E5B567FD45C726BF92B40F425F40577517F47A23F11D702AB7C82a6HAL" TargetMode="External"/><Relationship Id="rId40" Type="http://schemas.openxmlformats.org/officeDocument/2006/relationships/hyperlink" Target="consultantplus://offline/ref=F4E544E0851FF722673DBDC04B582BD5585A5D5E7DD45C726BF92B40F425F40577517F47A23F11D702AB7C82a6HAL" TargetMode="External"/><Relationship Id="rId45" Type="http://schemas.openxmlformats.org/officeDocument/2006/relationships/hyperlink" Target="consultantplus://offline/ref=F4E544E0851FF722673DBDC04B582BD5585E5B597FD45C726BF92B40F425F40577517F47A23F11D702AB7C82a6HAL" TargetMode="External"/><Relationship Id="rId53" Type="http://schemas.openxmlformats.org/officeDocument/2006/relationships/hyperlink" Target="consultantplus://offline/ref=F4E544E0851FF722673DBDC04B582BD55B5B5F5A79D45C726BF92B40F425F40577517F47A23F11D702AB7C82a6HAL" TargetMode="External"/><Relationship Id="rId58" Type="http://schemas.openxmlformats.org/officeDocument/2006/relationships/hyperlink" Target="consultantplus://offline/ref=F4E544E0851FF722673DBDC04B582BD5585C5F597BD45C726BF92B40F425F40577517F47A23F11D702AB7C82a6HAL" TargetMode="External"/><Relationship Id="rId66" Type="http://schemas.openxmlformats.org/officeDocument/2006/relationships/hyperlink" Target="consultantplus://offline/ref=F4E544E0851FF722673DBDC04B582BD55B515D5D79D45C726BF92B40F425F40577517F47A23F11D702AB7C82a6HAL" TargetMode="External"/><Relationship Id="rId74" Type="http://schemas.openxmlformats.org/officeDocument/2006/relationships/hyperlink" Target="consultantplus://offline/ref=F4E544E0851FF722673DBDC04B582BD55B5E5F567FD45C726BF92B40F425F40577517F47A23F11D702AB7C82a6HAL" TargetMode="External"/><Relationship Id="rId79" Type="http://schemas.openxmlformats.org/officeDocument/2006/relationships/hyperlink" Target="consultantplus://offline/ref=F4E544E0851FF722673DBDC04B582BD5525D5D587389567A32F52947FB7AF11066097044BD2113CB1EA97Ea8H2L" TargetMode="External"/><Relationship Id="rId87" Type="http://schemas.openxmlformats.org/officeDocument/2006/relationships/hyperlink" Target="consultantplus://offline/ref=F4E544E0851FF722673DBDC04B582BD55B505B5F79D45C726BF92B40F425F40577517F47A23F11D702AB7C82a6HAL" TargetMode="External"/><Relationship Id="rId102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4E544E0851FF722673DBDC04B582BD5585C5F587FD45C726BF92B40F425F40577517F47A23F11D702AB7C82a6HAL" TargetMode="External"/><Relationship Id="rId82" Type="http://schemas.openxmlformats.org/officeDocument/2006/relationships/hyperlink" Target="consultantplus://offline/ref=F4E544E0851FF722673DA1C057582BD55E5F525F7389567A32F52947FB7AF11066097044BD2113CB1EA97Ea8H2L" TargetMode="External"/><Relationship Id="rId90" Type="http://schemas.openxmlformats.org/officeDocument/2006/relationships/hyperlink" Target="consultantplus://offline/ref=F4E544E0851FF722673DBDC04B582BD558595D5778D45C726BF92B40F425F40577517F47A23F11D702AB7C82a6HAL" TargetMode="External"/><Relationship Id="rId95" Type="http://schemas.openxmlformats.org/officeDocument/2006/relationships/header" Target="header2.xml"/><Relationship Id="rId19" Type="http://schemas.openxmlformats.org/officeDocument/2006/relationships/hyperlink" Target="consultantplus://offline/ref=F4E544E0851FF722673DBDC04B582BD558595E5B70D45C726BF92B40F425F40577517F47A23F11D702AB7C82a6HAL" TargetMode="External"/><Relationship Id="rId14" Type="http://schemas.openxmlformats.org/officeDocument/2006/relationships/hyperlink" Target="consultantplus://offline/ref=F4E544E0851FF722673DBDC04B582BD5585F5E587AD45C726BF92B40F425F40577517F47A23F11D702AB7C82a6HAL" TargetMode="External"/><Relationship Id="rId22" Type="http://schemas.openxmlformats.org/officeDocument/2006/relationships/hyperlink" Target="consultantplus://offline/ref=F4E544E0851FF722673DBDC04B582BD5585C5F5F7AD45C726BF92B40F425F40577517F47A23F11D702AB7C82a6HAL" TargetMode="External"/><Relationship Id="rId27" Type="http://schemas.openxmlformats.org/officeDocument/2006/relationships/hyperlink" Target="consultantplus://offline/ref=F4E544E0851FF722673DBDC04B582BD5585A585E7BD45C726BF92B40F425F40577517F47A23F11D702AB7C82a6HAL" TargetMode="External"/><Relationship Id="rId30" Type="http://schemas.openxmlformats.org/officeDocument/2006/relationships/hyperlink" Target="consultantplus://offline/ref=F4E544E0851FF722673DBDC04B582BD5585D525E7CD45C726BF92B40F425F40577517F47A23F11D702AB7C82a6HAL" TargetMode="External"/><Relationship Id="rId35" Type="http://schemas.openxmlformats.org/officeDocument/2006/relationships/hyperlink" Target="consultantplus://offline/ref=F4E544E0851FF722673DBDC04B582BD5585E5B5B79D45C726BF92B40F425F40577517F47A23F11D702AB7C82a6HAL" TargetMode="External"/><Relationship Id="rId43" Type="http://schemas.openxmlformats.org/officeDocument/2006/relationships/hyperlink" Target="consultantplus://offline/ref=F4E544E0851FF722673DBDC04B582BD5585A5E5770D45C726BF92B40F425F40577517F47A23F11D702AB7C82a6HAL" TargetMode="External"/><Relationship Id="rId48" Type="http://schemas.openxmlformats.org/officeDocument/2006/relationships/hyperlink" Target="consultantplus://offline/ref=F4E544E0851FF722673DBDC04B582BD55859595778D45C726BF92B40F425F40577517F47A23F11D702AB7C82a6HAL" TargetMode="External"/><Relationship Id="rId56" Type="http://schemas.openxmlformats.org/officeDocument/2006/relationships/hyperlink" Target="consultantplus://offline/ref=F4E544E0851FF722673DA1C057582BD5585F5B5870D45C726BF92B40F425F40577517F47A23F11D702AB7C82a6HAL" TargetMode="External"/><Relationship Id="rId64" Type="http://schemas.openxmlformats.org/officeDocument/2006/relationships/hyperlink" Target="consultantplus://offline/ref=F4E544E0851FF722673DBDC04B582BD5585C5F597FD45C726BF92B40F425F40577517F47A23F11D702AB7C82a6HAL" TargetMode="External"/><Relationship Id="rId69" Type="http://schemas.openxmlformats.org/officeDocument/2006/relationships/hyperlink" Target="consultantplus://offline/ref=F4E544E0851FF722673DBDC04B582BD5585C5E587AD45C726BF92B40F425F40577517F47A23F11D702AB7C82a6HAL" TargetMode="External"/><Relationship Id="rId77" Type="http://schemas.openxmlformats.org/officeDocument/2006/relationships/hyperlink" Target="consultantplus://offline/ref=F4E544E0851FF722673DBDC04B582BD55B5C525C7DD45C726BF92B40F425F40577517F47A23F11D702AB7C82a6HAL" TargetMode="External"/><Relationship Id="rId8" Type="http://schemas.openxmlformats.org/officeDocument/2006/relationships/hyperlink" Target="consultantplus://offline/ref=F4E544E0851FF722673DBDC04B582BD5585D525C70D45C726BF92B40F425F40577517F47A23F11D702AB7C82a6HAL" TargetMode="External"/><Relationship Id="rId51" Type="http://schemas.openxmlformats.org/officeDocument/2006/relationships/hyperlink" Target="consultantplus://offline/ref=F4E544E0851FF722673DBDC04B582BD5585E5B5778D45C726BF92B40F425F40577517F47A23F11D702AB7C82a6HAL" TargetMode="External"/><Relationship Id="rId72" Type="http://schemas.openxmlformats.org/officeDocument/2006/relationships/hyperlink" Target="consultantplus://offline/ref=F4E544E0851FF722673DBDC04B582BD55B51535A7AD45C726BF92B40F425F40577517F47A23F11D702AB7C82a6HAL" TargetMode="External"/><Relationship Id="rId80" Type="http://schemas.openxmlformats.org/officeDocument/2006/relationships/hyperlink" Target="consultantplus://offline/ref=F4E544E0851FF722673DBDC04B582BD55B5F5F5A71D45C726BF92B40F425F40577517F47A23F11D702AB7C82a6HAL" TargetMode="External"/><Relationship Id="rId85" Type="http://schemas.openxmlformats.org/officeDocument/2006/relationships/hyperlink" Target="consultantplus://offline/ref=F4E544E0851FF722673DBDC04B582BD55D5059577389567A32F52947FB7AF11066097044BD2113CB1EA97Ea8H2L" TargetMode="External"/><Relationship Id="rId93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A5C7CD45C726BF92B40F425F40577517F47A23F11D702AB7C82a6HAL" TargetMode="External"/><Relationship Id="rId17" Type="http://schemas.openxmlformats.org/officeDocument/2006/relationships/hyperlink" Target="consultantplus://offline/ref=F4E544E0851FF722673DBDC04B582BD558595D577BD45C726BF92B40F425F40577517F47A23F11D702AB7C82a6HAL" TargetMode="External"/><Relationship Id="rId25" Type="http://schemas.openxmlformats.org/officeDocument/2006/relationships/hyperlink" Target="consultantplus://offline/ref=F4E544E0851FF722673DBDC04B582BD5585F525F7CD45C726BF92B40F425F40577517F47A23F11D702AB7C82a6HAL" TargetMode="External"/><Relationship Id="rId33" Type="http://schemas.openxmlformats.org/officeDocument/2006/relationships/hyperlink" Target="consultantplus://offline/ref=F4E544E0851FF722673DBDC04B582BD5585A5C587CD45C726BF92B40F425F40577517F47A23F11D702AB7C82a6HAL" TargetMode="External"/><Relationship Id="rId38" Type="http://schemas.openxmlformats.org/officeDocument/2006/relationships/hyperlink" Target="consultantplus://offline/ref=F4E544E0851FF722673DBDC04B582BD55B5F595971D45C726BF92B40F425F40577517F47A23F11D702AB7C82a6HAL" TargetMode="External"/><Relationship Id="rId46" Type="http://schemas.openxmlformats.org/officeDocument/2006/relationships/hyperlink" Target="consultantplus://offline/ref=F4E544E0851FF722673DBDC04B582BD5585A525E7ED45C726BF92B40F425F40577517F47A23F11D702AB7C82a6HAL" TargetMode="External"/><Relationship Id="rId59" Type="http://schemas.openxmlformats.org/officeDocument/2006/relationships/hyperlink" Target="consultantplus://offline/ref=F4E544E0851FF722673DBDC04B582BD5585C5F597CD45C726BF92B40F425F40577517F47A23F11D702AB7C82a6HAL" TargetMode="External"/><Relationship Id="rId67" Type="http://schemas.openxmlformats.org/officeDocument/2006/relationships/hyperlink" Target="consultantplus://offline/ref=F4E544E0851FF722673DBDC04B582BD55B515D5E7AD45C726BF92B40F425F40577517F47A23F11D702AB7C82a6HAL" TargetMode="External"/><Relationship Id="rId20" Type="http://schemas.openxmlformats.org/officeDocument/2006/relationships/hyperlink" Target="consultantplus://offline/ref=F4E544E0851FF722673DBDC04B582BD558595D577AD45C726BF92B40F425F40577517F47A23F11D702AB7C82a6HAL" TargetMode="External"/><Relationship Id="rId41" Type="http://schemas.openxmlformats.org/officeDocument/2006/relationships/hyperlink" Target="consultantplus://offline/ref=F4E544E0851FF722673DBDC04B582BD5585A535678D45C726BF92B40F425F40577517F47A23F11D702AB7C82a6HAL" TargetMode="External"/><Relationship Id="rId54" Type="http://schemas.openxmlformats.org/officeDocument/2006/relationships/hyperlink" Target="consultantplus://offline/ref=F4E544E0851FF722673DBDC04B582BD55B5E58597AD45C726BF92B40F425F40577517F47A23F11D702AB7C82a6HAL" TargetMode="External"/><Relationship Id="rId62" Type="http://schemas.openxmlformats.org/officeDocument/2006/relationships/hyperlink" Target="consultantplus://offline/ref=F4E544E0851FF722673DBDC04B582BD5585C5F597ED45C726BF92B40F425F40577517F47A23F11D702AB7C82a6HAL" TargetMode="External"/><Relationship Id="rId70" Type="http://schemas.openxmlformats.org/officeDocument/2006/relationships/hyperlink" Target="consultantplus://offline/ref=F4E544E0851FF722673DBDC04B582BD55B51525B71D45C726BF92B40F425F40577517F47A23F11D702AB7C82a6HAL" TargetMode="External"/><Relationship Id="rId75" Type="http://schemas.openxmlformats.org/officeDocument/2006/relationships/hyperlink" Target="consultantplus://offline/ref=F4E544E0851FF722673DA1C057582BD55E5B53577389567A32F52947FB7AF11066097044BD2113CB1EA97Ea8H2L" TargetMode="External"/><Relationship Id="rId83" Type="http://schemas.openxmlformats.org/officeDocument/2006/relationships/hyperlink" Target="consultantplus://offline/ref=F4E544E0851FF722673DA1C057582BD55E5D5B587389567A32F52947FB7AF11066097044BD2113CB1EA97Ea8H2L" TargetMode="External"/><Relationship Id="rId88" Type="http://schemas.openxmlformats.org/officeDocument/2006/relationships/hyperlink" Target="consultantplus://offline/ref=F4E544E0851FF722673DBDC04B582BD5585F5A5C79D45C726BF92B40F425F40577517F47A23F11D702AB7C82a6HAL" TargetMode="External"/><Relationship Id="rId91" Type="http://schemas.openxmlformats.org/officeDocument/2006/relationships/hyperlink" Target="consultantplus://offline/ref=F4E544E0851FF722673DA1C057582BD55C595B5E7389567A32F52947FB7AF11066097044BD2113CB1EA97Ea8H2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4E544E0851FF722673DBDC04B582BD5585E5B5D71D45C726BF92B40F425F40577517F47A23F11D702AB7C82a6HAL" TargetMode="External"/><Relationship Id="rId23" Type="http://schemas.openxmlformats.org/officeDocument/2006/relationships/hyperlink" Target="consultantplus://offline/ref=F4E544E0851FF722673DBDC04B582BD5585C5F5F7BD45C726BF92B40F425F40577517F47A23F11D702AB7C82a6HAL" TargetMode="External"/><Relationship Id="rId28" Type="http://schemas.openxmlformats.org/officeDocument/2006/relationships/hyperlink" Target="consultantplus://offline/ref=F4E544E0851FF722673DBDC04B582BD558585A5D78D45C726BF92B40F425F40577517F47A23F11D702AB7C82a6HAL" TargetMode="External"/><Relationship Id="rId36" Type="http://schemas.openxmlformats.org/officeDocument/2006/relationships/hyperlink" Target="consultantplus://offline/ref=F4E544E0851FF722673DBDC04B582BD5585D535970D45C726BF92B40F425F40577517F47A23F11D702AB7C82a6HAL" TargetMode="External"/><Relationship Id="rId49" Type="http://schemas.openxmlformats.org/officeDocument/2006/relationships/hyperlink" Target="consultantplus://offline/ref=F4E544E0851FF722673DBDC04B582BD5585D52587AD45C726BF92B40F425F40577517F47A23F11D702AB7C82a6HAL" TargetMode="External"/><Relationship Id="rId57" Type="http://schemas.openxmlformats.org/officeDocument/2006/relationships/hyperlink" Target="consultantplus://offline/ref=F4E544E0851FF722673DBDC04B582BD5585C5F587ED45C726BF92B40F425F40577517F47A23F11D702AB7C82a6HAL" TargetMode="External"/><Relationship Id="rId10" Type="http://schemas.openxmlformats.org/officeDocument/2006/relationships/hyperlink" Target="consultantplus://offline/ref=F4E544E0851FF722673DBDC04B582BD5585C5F5F7DD45C726BF92B40F425F40577517F47A23F11D702AB7C82a6HAL" TargetMode="External"/><Relationship Id="rId31" Type="http://schemas.openxmlformats.org/officeDocument/2006/relationships/hyperlink" Target="consultantplus://offline/ref=F4E544E0851FF722673DBDC04B582BD5585C5B5C7BD45C726BF92B40F425F40577517F47A23F11D702AB7C82a6HAL" TargetMode="External"/><Relationship Id="rId44" Type="http://schemas.openxmlformats.org/officeDocument/2006/relationships/hyperlink" Target="consultantplus://offline/ref=F4E544E0851FF722673DBDC04B582BD5585C5F5A7FD45C726BF92B40F425F40577517F47A23F11D702AB7C82a6HAL" TargetMode="External"/><Relationship Id="rId52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0" Type="http://schemas.openxmlformats.org/officeDocument/2006/relationships/hyperlink" Target="consultantplus://offline/ref=F4E544E0851FF722673DBDC04B582BD5585C5F597DD45C726BF92B40F425F40577517F47A23F11D702AB7C82a6HAL" TargetMode="External"/><Relationship Id="rId65" Type="http://schemas.openxmlformats.org/officeDocument/2006/relationships/hyperlink" Target="consultantplus://offline/ref=F4E544E0851FF722673DBDC04B582BD5585C5C5E7BD45C726BF92B40F425F40577517F47A23F11D702AB7C82a6HAL" TargetMode="External"/><Relationship Id="rId73" Type="http://schemas.openxmlformats.org/officeDocument/2006/relationships/hyperlink" Target="consultantplus://offline/ref=F4E544E0851FF722673DBDC04B582BD55B5D595F7BD45C726BF92B40F425F40577517F47A23F11D702AB7C82a6HAL" TargetMode="External"/><Relationship Id="rId78" Type="http://schemas.openxmlformats.org/officeDocument/2006/relationships/hyperlink" Target="consultantplus://offline/ref=F4E544E0851FF722673DBDC04B582BD55B5E535B79D45C726BF92B40F425F40577517F47A23F11D702AB7C82a6HAL" TargetMode="External"/><Relationship Id="rId81" Type="http://schemas.openxmlformats.org/officeDocument/2006/relationships/hyperlink" Target="consultantplus://offline/ref=F4E544E0851FF722673DA1C057582BD558585A5F7389567A32F52947FB7AF11066097044BD2113CB1EA97Ea8H2L" TargetMode="External"/><Relationship Id="rId86" Type="http://schemas.openxmlformats.org/officeDocument/2006/relationships/hyperlink" Target="consultantplus://offline/ref=F4E544E0851FF722673DBDC04B582BD55B505B5F70D45C726BF92B40F425F40577517F47A23F11D702AB7C82a6HAL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544E0851FF722673DBDC04B582BD5585C5D5E7AD45C726BF92B40F425F40577517F47A23F11D702AB7C82a6HAL" TargetMode="External"/><Relationship Id="rId13" Type="http://schemas.openxmlformats.org/officeDocument/2006/relationships/hyperlink" Target="consultantplus://offline/ref=F4E544E0851FF722673DBDC04B582BD5585C585A7AD45C726BF92B40F425F40577517F47A23F11D702AB7C82a6HAL" TargetMode="External"/><Relationship Id="rId18" Type="http://schemas.openxmlformats.org/officeDocument/2006/relationships/hyperlink" Target="consultantplus://offline/ref=F4E544E0851FF722673DBDC04B582BD558595C5D7DD45C726BF92B40F425F40577517F47A23F11D702AB7C82a6HAL" TargetMode="External"/><Relationship Id="rId39" Type="http://schemas.openxmlformats.org/officeDocument/2006/relationships/hyperlink" Target="consultantplus://offline/ref=F4E544E0851FF722673DBDC04B582BD5585C5A567DD45C726BF92B40F425F40577517F47A23F11D702AB7C82a6H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0F307A-0E56-49C8-BFD7-F917D635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23917</Words>
  <Characters>136331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Gorod</cp:lastModifiedBy>
  <cp:revision>8</cp:revision>
  <cp:lastPrinted>2022-11-30T07:26:00Z</cp:lastPrinted>
  <dcterms:created xsi:type="dcterms:W3CDTF">2022-10-21T12:03:00Z</dcterms:created>
  <dcterms:modified xsi:type="dcterms:W3CDTF">2022-11-30T07:29:00Z</dcterms:modified>
</cp:coreProperties>
</file>