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34" w:rsidRPr="008F1BAA" w:rsidRDefault="00856834" w:rsidP="0085683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F1BAA">
        <w:rPr>
          <w:rFonts w:ascii="Times New Roman" w:hAnsi="Times New Roman"/>
          <w:b/>
          <w:sz w:val="24"/>
          <w:szCs w:val="24"/>
        </w:rPr>
        <w:t>Определение категории субъекта малого или среднего предпринимательства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В соответствии со статьей 2 областного закона №153 -з от 28 ноября 2008 года "О развитии малого и среднего предпринимательства в Смоленской области" к субъектам малого и среднего предпринимательства относятся хозяйствующие субъекты (юридические лица и индивидуальные предприниматели), зарегистрированные и осуществляющие свою деятельность на территории Смоленской области, отнесенные в соответствии с условиями, установленными Федеральным законом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Статьей 4 Федерального закона от 24 июля 2007 № 209-ФЗ "О развитии малого и среднего предпринимательства в Российской Федерации" определены категории субъектов малого и среднего предпринимательства.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Так,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процентов. 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№ 127-ФЗ "О науке и государственной научно-технической политике".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lastRenderedPageBreak/>
        <w:t xml:space="preserve">     б) юридические лица являются государственными корпорациями, учрежденными в соответствии с Федеральным законом от 12 января 1996 года № 7-ФЗ "О некоммерческих организациях".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а) от 101 до 250 человек включительно для средних предприятий;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б) от 15 до 100 человек включительно для малых предприятий;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в) до 15 человек – микропредприятия.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а) микропредприятия - 60 млн. рублей;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б) малые предприятия - 400 млн. рублей;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в) средние предприятия – 1 000 млн. рублей.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Категория субъекта малого или среднего предпринимательства определяется в соответствии с наибольшим по значению условием.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Категория субъекта малого или среднего предпринимательства изменяется только в случае, если предельные значения выше или ниже предельных значений, в течение двух календарных лет, следующих один за другим.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Средняя численность работников микропредприятия,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Подтверждение статуса осуществляется самим субъектом предпринимательства с приложением налоговых, бухгалтерских и других документов, подтверждающих соответствие условиям Федерального закона.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F1BAA">
        <w:rPr>
          <w:rFonts w:ascii="Times New Roman" w:hAnsi="Times New Roman"/>
          <w:b/>
          <w:sz w:val="24"/>
          <w:szCs w:val="24"/>
        </w:rPr>
        <w:t>В соответствии со статьей 14 Федерального закона от 24 июля 2007 № 209-ФЗ "О развитии малого и среднего предпринимательства в Российской Федерации" поддержка не может оказываться в отношении субъектов малого и среднего предпринимательства: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2) являющихся участниками соглашений о разделе продукции;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3) осуществляющих предпринимательскую деятельность в сфере игорного бизнеса;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</w:t>
      </w:r>
      <w:r w:rsidRPr="008F1BAA">
        <w:rPr>
          <w:rFonts w:ascii="Times New Roman" w:hAnsi="Times New Roman"/>
          <w:sz w:val="24"/>
          <w:szCs w:val="24"/>
        </w:rPr>
        <w:lastRenderedPageBreak/>
        <w:t>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Кроме того, в оказании поддержки должно быть отказано в случае, если: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2) не выполнены условия оказания поддержки;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F1BAA">
        <w:rPr>
          <w:rFonts w:ascii="Times New Roman" w:hAnsi="Times New Roman"/>
          <w:b/>
          <w:sz w:val="24"/>
          <w:szCs w:val="24"/>
        </w:rPr>
        <w:t>Налоговый кодекс РФ: статья 181. "Подакцизные товары"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Подакцизными товарами признаются: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1) этиловый спирт, произведенный из пищевого или непищевого сырья, в том числе денатурированный этиловый спирт, спирт-сырец, дистилляты винный, виноградный, плодовый, коньячный, кальвадосный, висковый (далее также в настоящей главе - этиловый спирт);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2) спиртосодержащая продукция (растворы, эмульсии, суспензии и другие виды продукции в жидком виде) с объемной долей этилового спирта более 9 процентов, за исключением алкогольной продукции, указанной в подпункте 3 настоящего пункта.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Не рассматриваются как подакцизные товары: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- лекарственные средства,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средств, лекарственные средства (включая гомеопатические лекарственные препараты), изготавливаемые аптечными организациями по рецептам на лекарственные препараты и требованиям медицинских организаций, разлитые в емкости в соответствии с требованиями нормативной документации, согласованной уполномоченным федеральным органом исполнительной власти;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- препараты ветеринарного назначения,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препаратов, разработанных для применения в животноводстве на территории Российской Федерации, разлитые в емкости не более 100 мл;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- парфюмерно-косметическая продукция разлитая в емкости не более 100 мл с объемной долей этилового спирта до 80 процентов включительно и (или) парфюмерно-косметическая продукция с объемной долей этилового спирта до 90 процентов включительно при наличии на флаконе пульверизатора, разлитая в емкости не более 100 мл, а также парфюмерно-косметическая продукция с объемной долей этилового спирта до 90 процентов включительно, разлитая в емкости до 3 мл включительно;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- подлежащие дальнейшей переработке и (или) использованию для технических целей отходы, образующиеся при производстве спирта этилового из пищевого сырья, водок, ликероводочных изделий, соответствующие нормативной документации, утвержденной (согласованной) федеральным органом исполнительной власти;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 xml:space="preserve">     - виноматериалы, виноградное сусло, иное фруктовое сусло, пивное сусло.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3) алкогольная продукция (водка, ликероводочные изделия, коньяки, вино, фруктовое вино, ликерное вино, игристое вино (шампанское), винные напитки, сидр, пуаре, медовуха, пиво, напитки, изготавливаемые на основе пива, иные напитки с объемной долей этилового спирта более 0,5 процента, за исключением пищевой продукции в соответствии с перечнем, установленным Правительством Российской Федерации;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lastRenderedPageBreak/>
        <w:t>5) табачная продукция;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6) автомобили легковые;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6.1) мотоциклы с мощностью двигателя свыше 112,5 кВт (150 л.с.);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7) автомобильный бензин;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8) дизельное топливо;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9) моторные масла для дизельных и (или) карбюраторных (инжекторных) двигателей;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10) прямогонный бензин. Для целей настоящей главы под прямогонным бензином понимаются бензиновые фракции, полученные в результате переработки нефти, газового конденсата, попутного нефтяного газа, природного газа, горючих сланцев, угля и другого сырья, а также продуктов их переработки, за исключением бензина автомобильного и продукции нефтехимии.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Для целей настоящей статьи бензиновой фракцией является смесь углеводородов, кипящих в интервале температур от 30 до 215 град. С при атмосферном давлении 760 миллиметров ртутного столба;</w:t>
      </w:r>
    </w:p>
    <w:p w:rsidR="00856834" w:rsidRPr="008F1BAA" w:rsidRDefault="00856834" w:rsidP="0085683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F1BAA">
        <w:rPr>
          <w:rFonts w:ascii="Times New Roman" w:hAnsi="Times New Roman"/>
          <w:sz w:val="24"/>
          <w:szCs w:val="24"/>
        </w:rPr>
        <w:t>11)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Цельсия.</w:t>
      </w:r>
    </w:p>
    <w:p w:rsidR="00E3147A" w:rsidRDefault="00856834" w:rsidP="00856834">
      <w:r w:rsidRPr="008F1BAA">
        <w:rPr>
          <w:rFonts w:ascii="Times New Roman" w:hAnsi="Times New Roman"/>
          <w:sz w:val="24"/>
          <w:szCs w:val="24"/>
        </w:rPr>
        <w:br w:type="page"/>
      </w:r>
    </w:p>
    <w:sectPr w:rsidR="00E3147A" w:rsidSect="000A419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6834"/>
    <w:rsid w:val="000A4197"/>
    <w:rsid w:val="00307A2D"/>
    <w:rsid w:val="007D0E3D"/>
    <w:rsid w:val="00856834"/>
    <w:rsid w:val="00E3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34"/>
    <w:pPr>
      <w:spacing w:after="200" w:line="276" w:lineRule="auto"/>
      <w:jc w:val="left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10407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3</cp:revision>
  <dcterms:created xsi:type="dcterms:W3CDTF">2015-04-09T07:25:00Z</dcterms:created>
  <dcterms:modified xsi:type="dcterms:W3CDTF">2015-04-09T07:25:00Z</dcterms:modified>
</cp:coreProperties>
</file>