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60B" w:rsidRDefault="00ED260B" w:rsidP="00ED260B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Планируют разграничить ответственность за нарушение отдельных правил оборота оружия и незаконный оборот. Введут ответственность за потерю оружия, например, при перевозке. Увеличат срок давности привлечения к ответственности. Проект внесли в Госдуму 21 мая. Остановимся на основных моментах.</w:t>
      </w:r>
    </w:p>
    <w:p w:rsidR="00ED260B" w:rsidRDefault="00ED260B" w:rsidP="00ED260B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Появится отдельный состав за нарушение правил приобретения или передачи оружия и патронов к нему. Должностные лица заплатят от 10 тыс. до 50 тыс. руб.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Юрлиц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накажут штрафом от 30 тыс. до 100 тыс. руб. либо приостановят их деятельность на срок до 30 суток.</w:t>
      </w:r>
    </w:p>
    <w:p w:rsidR="00ED260B" w:rsidRDefault="00ED260B" w:rsidP="00ED260B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В отдельную статью выделят весь незаконный оборот — изготовление, приобретение, продажу, передачу, хранение, перевозку оружия и т.д. Должностных лиц будут штрафовать на сумму от 10 тыс. до 50 тыс. руб. или дисквалифицировать на срок от 6 мес. до 3-х лет.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Юрлиц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ждет штраф от 50 тыс. до 500 тыс. руб. или приостановка деятельности на срок до 60 суток. И у тех и у других смогут конфисковать оружие и патроны.</w:t>
      </w:r>
    </w:p>
    <w:p w:rsidR="00ED260B" w:rsidRDefault="00ED260B" w:rsidP="00ED260B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Установят, что нужно понимать под незаконным оборотом. Например, действия, которые прямо запрещены или не предусмотрены законодательством.</w:t>
      </w:r>
    </w:p>
    <w:p w:rsidR="00ED260B" w:rsidRDefault="00ED260B" w:rsidP="00ED260B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Введут ответственность за нарушение правил перевозки (транспортирования) или использования оружия, если в результате его </w:t>
      </w:r>
      <w:proofErr w:type="gramStart"/>
      <w:r>
        <w:rPr>
          <w:rFonts w:ascii="Helvetica" w:hAnsi="Helvetica" w:cs="Helvetica"/>
          <w:color w:val="333333"/>
          <w:sz w:val="20"/>
          <w:szCs w:val="20"/>
        </w:rPr>
        <w:t>потеряли</w:t>
      </w:r>
      <w:proofErr w:type="gramEnd"/>
      <w:r>
        <w:rPr>
          <w:rFonts w:ascii="Helvetica" w:hAnsi="Helvetica" w:cs="Helvetica"/>
          <w:color w:val="333333"/>
          <w:sz w:val="20"/>
          <w:szCs w:val="20"/>
        </w:rPr>
        <w:t xml:space="preserve"> и эти действия не подпадают под УК РФ. Должностных лиц оштрафуют на сумму от 20 тыс. до 50 тыс. руб. (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юрлиц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— от 30 тыс. до 500 тыс. руб.) или дисквалифицируют на срок от 6 мес. до 3-х лет (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юрлицу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приостановят деятельность на срок до 60 суток). Дополнительно могут применить конфискацию.</w:t>
      </w:r>
    </w:p>
    <w:p w:rsidR="00ED260B" w:rsidRDefault="00ED260B" w:rsidP="00ED260B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Срок давности для привлечения к ответственности за нарушения законодательства об оружии увеличат до 1 года. Сейчас по общему правилу срок составляет 2 мес., а если дело рассматривает судья — 3 мес.</w:t>
      </w:r>
    </w:p>
    <w:p w:rsidR="00ED260B" w:rsidRDefault="00ED260B" w:rsidP="00ED260B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Проект Федерального закона N 1177082-7</w:t>
      </w:r>
    </w:p>
    <w:p w:rsidR="00ED260B" w:rsidRDefault="00ED260B" w:rsidP="00ED260B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Помощник прокурора                                                                    В.Н.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Кочанков</w:t>
      </w:r>
      <w:proofErr w:type="spellEnd"/>
    </w:p>
    <w:p w:rsidR="00F37A24" w:rsidRDefault="00F37A24">
      <w:bookmarkStart w:id="0" w:name="_GoBack"/>
      <w:bookmarkEnd w:id="0"/>
    </w:p>
    <w:sectPr w:rsidR="00F37A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60B"/>
    <w:rsid w:val="00ED260B"/>
    <w:rsid w:val="00F3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2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2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9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2023-03-28T06:43:00Z</dcterms:created>
  <dcterms:modified xsi:type="dcterms:W3CDTF">2023-03-28T06:43:00Z</dcterms:modified>
</cp:coreProperties>
</file>