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45" w:rsidRDefault="00DC6345" w:rsidP="00DC6345">
      <w:pPr>
        <w:jc w:val="both"/>
      </w:pPr>
      <w:bookmarkStart w:id="0" w:name="_GoBack"/>
      <w:r>
        <w:t>Уголовная ответственность за преступления, совершенные с использованием сети «Интернет»</w:t>
      </w:r>
    </w:p>
    <w:p w:rsidR="00DC6345" w:rsidRDefault="00DC6345" w:rsidP="00DC6345">
      <w:pPr>
        <w:jc w:val="both"/>
      </w:pPr>
      <w:r>
        <w:t>Причиной роста числа преступлений против собственности, совершенных с использованием информационно-коммуникационных технологий и в сфере компьютерной информации, в первую очередь, явилось повышение криминальной активности в сфере социального инжиниринга, связанного с хищением имущества граждан дистанционными методами.</w:t>
      </w:r>
    </w:p>
    <w:p w:rsidR="00DC6345" w:rsidRDefault="00DC6345" w:rsidP="00DC6345">
      <w:pPr>
        <w:jc w:val="both"/>
      </w:pPr>
      <w:r>
        <w:t>В 2018 году ужесточена ответственность за совершение краж денежных сре</w:t>
      </w:r>
      <w:proofErr w:type="gramStart"/>
      <w:r>
        <w:t>дств с б</w:t>
      </w:r>
      <w:proofErr w:type="gramEnd"/>
      <w:r>
        <w:t>анковского счета, которые по степени тяжести приравнены к кражам с незаконным проникновением в жилище и караются лишением свободы на срок до 6 лет (пункт «г» части 3 статьи 158 УК РФ).</w:t>
      </w:r>
    </w:p>
    <w:p w:rsidR="00DC6345" w:rsidRDefault="00DC6345" w:rsidP="00DC6345">
      <w:pPr>
        <w:jc w:val="both"/>
      </w:pPr>
      <w:r>
        <w:t>Федеральным законом от 01.04.2020 № 95-ФЗ внесены изменения в статью 238.1 УК РФ, предусматривающую наказание за оборот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добавок. Данные действия, совершенные с использованием сети Интернет, переведены из категории средней тяжести в число тяжких преступлений.</w:t>
      </w:r>
    </w:p>
    <w:p w:rsidR="00DC6345" w:rsidRDefault="00DC6345" w:rsidP="00DC6345">
      <w:pPr>
        <w:jc w:val="both"/>
      </w:pPr>
      <w:proofErr w:type="gramStart"/>
      <w:r>
        <w:t>Введен специальный состав мошенничества, совершенного с использованием электронных средств платежа (статья 159.3 УК РФ), к которым относятся 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иных технических устройств.</w:t>
      </w:r>
      <w:proofErr w:type="gramEnd"/>
      <w:r>
        <w:t xml:space="preserve"> При этом неправомерный оборот данных сре</w:t>
      </w:r>
      <w:proofErr w:type="gramStart"/>
      <w:r>
        <w:t>дств пл</w:t>
      </w:r>
      <w:proofErr w:type="gramEnd"/>
      <w:r>
        <w:t>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</w:t>
      </w:r>
    </w:p>
    <w:p w:rsidR="00DC6345" w:rsidRDefault="00DC6345" w:rsidP="00DC6345">
      <w:pPr>
        <w:jc w:val="both"/>
      </w:pPr>
      <w:r>
        <w:t>Статья 159.6 УК РФ устанавливает ответственность за преступления, связанные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вмешательства).</w:t>
      </w:r>
    </w:p>
    <w:p w:rsidR="005F1880" w:rsidRDefault="00DC6345" w:rsidP="00DC6345">
      <w:pPr>
        <w:jc w:val="both"/>
      </w:pPr>
      <w:proofErr w:type="gramStart"/>
      <w:r>
        <w:t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</w:t>
      </w:r>
      <w:proofErr w:type="gramEnd"/>
      <w:r>
        <w:t xml:space="preserve"> осуществлению террористической и экстремистской деятельности (статьи 205.2 и 280 УК РФ), и ряда других преступлений.</w:t>
      </w:r>
      <w:bookmarkEnd w:id="0"/>
    </w:p>
    <w:sectPr w:rsidR="005F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A3"/>
    <w:rsid w:val="00421FA3"/>
    <w:rsid w:val="005F1880"/>
    <w:rsid w:val="00D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>Krokoz™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</dc:creator>
  <cp:keywords/>
  <dc:description/>
  <cp:lastModifiedBy>Прок</cp:lastModifiedBy>
  <cp:revision>2</cp:revision>
  <dcterms:created xsi:type="dcterms:W3CDTF">2023-02-10T07:26:00Z</dcterms:created>
  <dcterms:modified xsi:type="dcterms:W3CDTF">2023-02-10T07:27:00Z</dcterms:modified>
</cp:coreProperties>
</file>