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65888" w:rsidRDefault="00483A60" w:rsidP="00483A6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 xml:space="preserve">муниципальной программы </w:t>
      </w:r>
    </w:p>
    <w:p w:rsidR="00A4694A" w:rsidRDefault="00483A60" w:rsidP="00A4694A">
      <w:pPr>
        <w:ind w:firstLine="709"/>
        <w:jc w:val="center"/>
        <w:rPr>
          <w:b/>
          <w:bCs/>
          <w:sz w:val="28"/>
          <w:szCs w:val="28"/>
        </w:rPr>
      </w:pPr>
      <w:r w:rsidRPr="00E372A5">
        <w:rPr>
          <w:b/>
        </w:rPr>
        <w:t xml:space="preserve"> </w:t>
      </w:r>
      <w:r w:rsidR="00A4694A">
        <w:rPr>
          <w:b/>
          <w:bCs/>
          <w:sz w:val="28"/>
          <w:szCs w:val="28"/>
        </w:rPr>
        <w:t xml:space="preserve">«Обеспечение жильем молодых семей»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3A60" w:rsidRDefault="00483A60" w:rsidP="00483A60">
            <w:pPr>
              <w:pStyle w:val="a3"/>
              <w:ind w:left="0"/>
              <w:jc w:val="both"/>
              <w:rPr>
                <w:i/>
              </w:rPr>
            </w:pPr>
            <w:r w:rsidRPr="00483A60">
              <w:rPr>
                <w:b w:val="0"/>
                <w:bCs w:val="0"/>
                <w:i/>
                <w:sz w:val="24"/>
              </w:rPr>
              <w:t>Шавалдина Ж.И. - начальник отдела экономики</w:t>
            </w:r>
            <w:r w:rsidR="005D74A2" w:rsidRPr="00483A60">
              <w:rPr>
                <w:rStyle w:val="211pt0"/>
                <w:i w:val="0"/>
              </w:rPr>
              <w:t xml:space="preserve"> </w:t>
            </w:r>
            <w:r w:rsidRPr="00483A60">
              <w:rPr>
                <w:rFonts w:eastAsia="Calibri"/>
                <w:b w:val="0"/>
                <w:i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483A60">
              <w:rPr>
                <w:rStyle w:val="211pt0"/>
              </w:rPr>
              <w:t>201</w:t>
            </w:r>
            <w:r w:rsidR="00A4694A">
              <w:rPr>
                <w:rStyle w:val="211pt0"/>
              </w:rPr>
              <w:t>5</w:t>
            </w:r>
            <w:r w:rsidR="00483A60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Pr="00102706" w:rsidRDefault="00102706" w:rsidP="00E24E3B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5D74A2" w:rsidP="00533B52">
            <w:r>
              <w:rPr>
                <w:rStyle w:val="211pt0"/>
              </w:rPr>
              <w:t>Цель</w:t>
            </w:r>
            <w:r w:rsidR="00483A60">
              <w:rPr>
                <w:rStyle w:val="211pt0"/>
              </w:rPr>
              <w:t>:</w:t>
            </w:r>
            <w:r>
              <w:rPr>
                <w:rStyle w:val="211pt0"/>
              </w:rPr>
              <w:t xml:space="preserve"> </w:t>
            </w:r>
            <w:r w:rsidR="00332D3B" w:rsidRPr="00332D3B">
              <w:rPr>
                <w:i/>
              </w:rPr>
              <w:t>Улучшение жилищных условий молодых семей, проживающих в муниципальном образовании «Угранский район» Смоленской области</w:t>
            </w:r>
            <w:r w:rsidR="00332D3B" w:rsidRPr="009043DB">
              <w:t xml:space="preserve"> 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483A60" w:rsidRDefault="00483A60" w:rsidP="00533B52">
            <w:pPr>
              <w:rPr>
                <w:i/>
              </w:rPr>
            </w:pPr>
            <w:r w:rsidRPr="00483A60">
              <w:rPr>
                <w:i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3A60" w:rsidRPr="00483A60" w:rsidRDefault="00483A60" w:rsidP="00483A60">
            <w:pPr>
              <w:rPr>
                <w:i/>
              </w:rPr>
            </w:pPr>
            <w:r w:rsidRPr="00483A60">
              <w:rPr>
                <w:i/>
              </w:rPr>
              <w:t xml:space="preserve">Общий объем финансирования программы составляет </w:t>
            </w:r>
            <w:r w:rsidR="00452610">
              <w:rPr>
                <w:i/>
              </w:rPr>
              <w:t>30596,1</w:t>
            </w:r>
            <w:r w:rsidR="00332D3B">
              <w:t xml:space="preserve"> </w:t>
            </w:r>
            <w:r w:rsidRPr="00483A60">
              <w:rPr>
                <w:i/>
              </w:rPr>
              <w:t>тыс. рублей за счет средств районного бюджета, в том числе:</w:t>
            </w:r>
          </w:p>
          <w:p w:rsidR="00332D3B" w:rsidRPr="00332D3B" w:rsidRDefault="00332D3B" w:rsidP="00332D3B">
            <w:pPr>
              <w:rPr>
                <w:i/>
              </w:rPr>
            </w:pPr>
            <w:r w:rsidRPr="00332D3B">
              <w:rPr>
                <w:i/>
              </w:rPr>
              <w:t>- в 2015 году – 4410 тыс. рублей, в том числе за счет средств федерального и областного бюджета – 1323 тыс. рублей, за счет средств районного бюджета – 220,5 тыс. рублей, за счет внебюджетных средств – 2866,5 тыс. рублей;</w:t>
            </w:r>
          </w:p>
          <w:p w:rsidR="00332D3B" w:rsidRPr="00332D3B" w:rsidRDefault="00332D3B" w:rsidP="00332D3B">
            <w:pPr>
              <w:rPr>
                <w:i/>
              </w:rPr>
            </w:pPr>
            <w:r w:rsidRPr="00332D3B">
              <w:rPr>
                <w:i/>
              </w:rPr>
              <w:t>- в 2016 году – 617,4 тыс. руб., в том числе за счет средств областного бюджета 529,2 тыс. руб., за счет средств районного бюджета – 88,2 тыс. рублей;</w:t>
            </w:r>
          </w:p>
          <w:p w:rsidR="00332D3B" w:rsidRPr="00332D3B" w:rsidRDefault="00332D3B" w:rsidP="00332D3B">
            <w:pPr>
              <w:rPr>
                <w:i/>
              </w:rPr>
            </w:pPr>
            <w:r w:rsidRPr="00332D3B">
              <w:rPr>
                <w:i/>
              </w:rPr>
              <w:t>- в 2017 году – 8085,1 тыс. руб., в том числе за счет средств федерального и областного бюджетов – 2425,5 тыс. руб., за счет средств районного бюджета – 404,3 тыс. руб., за счет внебюджетных средств – 5255,3;</w:t>
            </w:r>
          </w:p>
          <w:p w:rsidR="00332D3B" w:rsidRPr="00332D3B" w:rsidRDefault="00332D3B" w:rsidP="00332D3B">
            <w:pPr>
              <w:rPr>
                <w:i/>
              </w:rPr>
            </w:pPr>
            <w:r w:rsidRPr="00332D3B">
              <w:rPr>
                <w:i/>
              </w:rPr>
              <w:t>- в 2018 году – 1108,7 тыс. руб., в том числе за счет средств федерального и областного бюджетов –654,15 тыс. руб., за счет средств районного бюджета –117,6 тыс. руб. за счет внебюджетных средств – 336,95 тыс. руб.;</w:t>
            </w:r>
          </w:p>
          <w:p w:rsidR="00332D3B" w:rsidRPr="00332D3B" w:rsidRDefault="00332D3B" w:rsidP="00332D3B">
            <w:pPr>
              <w:rPr>
                <w:i/>
              </w:rPr>
            </w:pPr>
            <w:r w:rsidRPr="00332D3B">
              <w:rPr>
                <w:i/>
              </w:rPr>
              <w:t>- в 2019 году –2253,8 тыс. руб., в том числе за счет средств федерального и областного бюджетов –1229,0 тыс. руб., за счет средств районного бюджета –204,8 тыс. руб. за счет внебюджетных средств – 820,0 тыс. руб.;</w:t>
            </w:r>
          </w:p>
          <w:p w:rsidR="00332D3B" w:rsidRPr="00332D3B" w:rsidRDefault="00332D3B" w:rsidP="00332D3B">
            <w:pPr>
              <w:rPr>
                <w:i/>
              </w:rPr>
            </w:pPr>
            <w:r w:rsidRPr="00332D3B">
              <w:rPr>
                <w:i/>
              </w:rPr>
              <w:t xml:space="preserve">- в 2020 году – </w:t>
            </w:r>
            <w:r w:rsidR="00F53FF8">
              <w:rPr>
                <w:i/>
              </w:rPr>
              <w:t>3537,1</w:t>
            </w:r>
            <w:r w:rsidRPr="00332D3B">
              <w:rPr>
                <w:i/>
              </w:rPr>
              <w:t xml:space="preserve"> тыс. руб., в том числе за счет средств федерального и областного бюджетов – </w:t>
            </w:r>
            <w:r w:rsidR="00F53FF8">
              <w:rPr>
                <w:i/>
              </w:rPr>
              <w:t xml:space="preserve">926,1 </w:t>
            </w:r>
            <w:r w:rsidRPr="00332D3B">
              <w:rPr>
                <w:i/>
              </w:rPr>
              <w:t xml:space="preserve">тыс. руб., за счет средств районного бюджета – </w:t>
            </w:r>
            <w:r w:rsidR="00F53FF8">
              <w:rPr>
                <w:i/>
              </w:rPr>
              <w:t>154,4</w:t>
            </w:r>
            <w:r w:rsidRPr="00332D3B">
              <w:rPr>
                <w:i/>
                <w:sz w:val="18"/>
                <w:szCs w:val="18"/>
              </w:rPr>
              <w:t xml:space="preserve"> </w:t>
            </w:r>
            <w:r w:rsidRPr="00332D3B">
              <w:rPr>
                <w:i/>
              </w:rPr>
              <w:t xml:space="preserve">тыс. руб. за счет внебюджетных средств – </w:t>
            </w:r>
            <w:r w:rsidR="00F53FF8">
              <w:rPr>
                <w:i/>
              </w:rPr>
              <w:t>2456,6</w:t>
            </w:r>
            <w:r w:rsidRPr="00332D3B">
              <w:rPr>
                <w:i/>
              </w:rPr>
              <w:t xml:space="preserve"> тыс. </w:t>
            </w:r>
            <w:r w:rsidRPr="00332D3B">
              <w:rPr>
                <w:i/>
              </w:rPr>
              <w:lastRenderedPageBreak/>
              <w:t>руб.;</w:t>
            </w:r>
          </w:p>
          <w:p w:rsidR="00332D3B" w:rsidRPr="00332D3B" w:rsidRDefault="00332D3B" w:rsidP="00332D3B">
            <w:pPr>
              <w:rPr>
                <w:i/>
              </w:rPr>
            </w:pPr>
            <w:r w:rsidRPr="00332D3B">
              <w:rPr>
                <w:i/>
              </w:rPr>
              <w:t>- в 2021 году –</w:t>
            </w:r>
            <w:r w:rsidR="00F53FF8">
              <w:rPr>
                <w:i/>
              </w:rPr>
              <w:t>1323,0</w:t>
            </w:r>
            <w:r w:rsidRPr="00332D3B">
              <w:rPr>
                <w:i/>
              </w:rPr>
              <w:t xml:space="preserve"> тыс. руб., в том числе за счет средств федерального и областного бюджетов –</w:t>
            </w:r>
            <w:r w:rsidR="00F53FF8">
              <w:rPr>
                <w:i/>
              </w:rPr>
              <w:t>366,6</w:t>
            </w:r>
            <w:r w:rsidRPr="00332D3B">
              <w:rPr>
                <w:i/>
              </w:rPr>
              <w:t xml:space="preserve"> тыс. руб., за счет средств районного бюджета –</w:t>
            </w:r>
            <w:r w:rsidR="00F53FF8">
              <w:rPr>
                <w:i/>
              </w:rPr>
              <w:t>96,4</w:t>
            </w:r>
            <w:r w:rsidRPr="00332D3B">
              <w:rPr>
                <w:i/>
              </w:rPr>
              <w:t xml:space="preserve"> тыс. руб. за счет внебюджетных средств – </w:t>
            </w:r>
            <w:r w:rsidR="00F53FF8">
              <w:rPr>
                <w:i/>
              </w:rPr>
              <w:t>860,0</w:t>
            </w:r>
            <w:r w:rsidRPr="00332D3B">
              <w:rPr>
                <w:i/>
              </w:rPr>
              <w:t xml:space="preserve"> тыс. руб.;</w:t>
            </w:r>
          </w:p>
          <w:p w:rsidR="00053483" w:rsidRPr="00332D3B" w:rsidRDefault="00332D3B" w:rsidP="00053483">
            <w:pPr>
              <w:rPr>
                <w:i/>
              </w:rPr>
            </w:pPr>
            <w:r w:rsidRPr="00332D3B">
              <w:rPr>
                <w:i/>
              </w:rPr>
              <w:t>- в 2022 году –</w:t>
            </w:r>
            <w:r w:rsidR="00053483" w:rsidRPr="00332D3B">
              <w:rPr>
                <w:i/>
              </w:rPr>
              <w:t>3087</w:t>
            </w:r>
            <w:r w:rsidR="00452610">
              <w:rPr>
                <w:i/>
              </w:rPr>
              <w:t>,0</w:t>
            </w:r>
            <w:r w:rsidR="00053483" w:rsidRPr="00332D3B">
              <w:rPr>
                <w:i/>
              </w:rPr>
              <w:t xml:space="preserve"> тыс. руб., в том числе за счет средств федерального и областного бюджетов –852,55 тыс. руб., за счет средств районного бюджета –227,9 тыс. руб. за счет внебюджетных средств – 2006,55 тыс. руб.;</w:t>
            </w:r>
          </w:p>
          <w:p w:rsidR="00332D3B" w:rsidRPr="00332D3B" w:rsidRDefault="00332D3B" w:rsidP="00332D3B">
            <w:pPr>
              <w:rPr>
                <w:i/>
              </w:rPr>
            </w:pPr>
            <w:r w:rsidRPr="00332D3B">
              <w:rPr>
                <w:i/>
              </w:rPr>
              <w:t>- в 2023 году –3087 тыс. руб., в том числе за счет средств федерального и областного бюджетов –852,55 тыс. руб., за счет средств районного бюджета –227,9 тыс. руб. за счет внебюджетных средств – 2006,55 тыс. руб.;</w:t>
            </w:r>
          </w:p>
          <w:p w:rsidR="00483A60" w:rsidRPr="009043DB" w:rsidRDefault="00332D3B" w:rsidP="00332D3B">
            <w:pPr>
              <w:ind w:left="0"/>
              <w:rPr>
                <w:i/>
              </w:rPr>
            </w:pPr>
            <w:r w:rsidRPr="00332D3B">
              <w:rPr>
                <w:i/>
              </w:rPr>
              <w:t>- в 2024 году –3087 тыс. руб., в том числе за счет средств федерального и областного бюджетов –852,55 тыс. руб., за счет средств районного бюджета –227,9 тыс. руб. за счет внебюджетных средств – 2006,55 тыс. руб.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332D3B" w:rsidRDefault="00332D3B" w:rsidP="00332D3B">
            <w:pPr>
              <w:rPr>
                <w:i/>
              </w:rPr>
            </w:pPr>
            <w:r w:rsidRPr="00332D3B">
              <w:rPr>
                <w:i/>
              </w:rPr>
              <w:t>Улучшение жилищных условий молодых семей, проживающих на территории муниципального образования «Угранский район» Смоленской области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A4694A" w:rsidRPr="00A4694A" w:rsidRDefault="005D74A2" w:rsidP="00A4694A">
      <w:pPr>
        <w:ind w:left="0"/>
        <w:jc w:val="center"/>
        <w:rPr>
          <w:bCs/>
          <w:sz w:val="28"/>
          <w:szCs w:val="28"/>
          <w:u w:val="single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  <w:r w:rsidR="00A4694A" w:rsidRPr="00A4694A">
        <w:rPr>
          <w:bCs/>
          <w:sz w:val="28"/>
          <w:szCs w:val="28"/>
          <w:u w:val="single"/>
        </w:rPr>
        <w:t xml:space="preserve">«Обеспечение жильем молодых семей»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111"/>
        <w:gridCol w:w="1418"/>
        <w:gridCol w:w="1134"/>
        <w:gridCol w:w="850"/>
        <w:gridCol w:w="992"/>
        <w:gridCol w:w="851"/>
        <w:gridCol w:w="1716"/>
        <w:gridCol w:w="1570"/>
        <w:gridCol w:w="1533"/>
        <w:gridCol w:w="1768"/>
      </w:tblGrid>
      <w:tr w:rsidR="005D74A2" w:rsidTr="00ED251D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D251D" w:rsidTr="00ED251D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31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D251D" w:rsidRDefault="00ED251D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51D" w:rsidRPr="005D74A2" w:rsidRDefault="00ED251D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51D" w:rsidRPr="005D74A2" w:rsidRDefault="00ED251D" w:rsidP="00ED251D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D251D" w:rsidRPr="005D74A2" w:rsidRDefault="00ED251D" w:rsidP="00ED251D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17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D251D" w:rsidRDefault="00ED251D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D251D" w:rsidRDefault="00ED251D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251D" w:rsidRDefault="00ED251D" w:rsidP="005D74A2"/>
        </w:tc>
      </w:tr>
      <w:tr w:rsidR="00E24E3B" w:rsidTr="00ED251D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BE1654">
        <w:trPr>
          <w:trHeight w:hRule="exact" w:val="89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0D30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="00BE1654" w:rsidRPr="00BE1654">
              <w:rPr>
                <w:b/>
                <w:i/>
              </w:rPr>
              <w:t>Улучшение жилищных условий молодых семей, проживающих в муниципальном образовании «Угранский район» Смоленской области</w:t>
            </w:r>
          </w:p>
        </w:tc>
      </w:tr>
      <w:tr w:rsidR="00CE199C" w:rsidTr="00ED251D">
        <w:trPr>
          <w:trHeight w:hRule="exact" w:val="35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r>
              <w:t xml:space="preserve">Наличие сформированного списка молодых семей </w:t>
            </w:r>
            <w:r w:rsidRPr="00D74963">
              <w:t xml:space="preserve">участников </w:t>
            </w:r>
            <w:r>
              <w:t>п</w:t>
            </w:r>
            <w:r w:rsidRPr="00D74963">
              <w:t>рограммы, изъявивших желание получить социальную выплату в планируемом году</w:t>
            </w:r>
            <w:r>
              <w:t xml:space="preserve"> 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Pr="00550D30" w:rsidRDefault="00CE199C" w:rsidP="00550D30">
            <w:pPr>
              <w:jc w:val="center"/>
            </w:pPr>
            <w: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199C" w:rsidRPr="00C952B3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D920FB" w:rsidP="00933D85">
            <w:pPr>
              <w:jc w:val="left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CE199C" w:rsidRDefault="00CE199C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D920FB" w:rsidRDefault="00D920FB" w:rsidP="00555870">
            <w:pPr>
              <w:jc w:val="center"/>
            </w:pPr>
          </w:p>
          <w:p w:rsidR="00CE199C" w:rsidRPr="00550D30" w:rsidRDefault="00ED251D" w:rsidP="00555870">
            <w:pPr>
              <w:jc w:val="center"/>
            </w:pPr>
            <w:r w:rsidRPr="00BE1F35"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199C" w:rsidRPr="00550D30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D920FB" w:rsidRDefault="00D920FB" w:rsidP="005D74A2">
            <w:pPr>
              <w:rPr>
                <w:sz w:val="20"/>
                <w:szCs w:val="20"/>
              </w:rPr>
            </w:pPr>
          </w:p>
          <w:p w:rsidR="00CE199C" w:rsidRPr="00550D30" w:rsidRDefault="00CE199C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CE199C" w:rsidTr="00ED251D">
        <w:trPr>
          <w:trHeight w:hRule="exact" w:val="59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E199C" w:rsidRDefault="00CE199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550D30" w:rsidRDefault="00CE199C" w:rsidP="005D74A2">
            <w:pPr>
              <w:rPr>
                <w:sz w:val="10"/>
                <w:szCs w:val="10"/>
              </w:rPr>
            </w:pPr>
            <w:r>
              <w:t>Число молодых семей, признанных участниками муниципальной программы в отчетном периоде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ED251D" w:rsidRDefault="00ED251D" w:rsidP="00550D30">
            <w:pPr>
              <w:jc w:val="center"/>
            </w:pPr>
          </w:p>
          <w:p w:rsidR="00CE199C" w:rsidRDefault="00CE199C" w:rsidP="00550D30">
            <w:pPr>
              <w:jc w:val="center"/>
              <w:rPr>
                <w:sz w:val="10"/>
                <w:szCs w:val="10"/>
              </w:rPr>
            </w:pPr>
            <w:r>
              <w:t>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E199C" w:rsidRDefault="00CE199C" w:rsidP="00804FE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ED251D" w:rsidRDefault="00ED251D" w:rsidP="00555870">
            <w:pPr>
              <w:ind w:left="0"/>
              <w:jc w:val="center"/>
              <w:rPr>
                <w:sz w:val="20"/>
                <w:szCs w:val="20"/>
              </w:rPr>
            </w:pPr>
            <w:r w:rsidRPr="00ED251D">
              <w:rPr>
                <w:sz w:val="20"/>
                <w:szCs w:val="20"/>
              </w:rPr>
              <w:t xml:space="preserve">Постановление Администрации муниципального образования «Угранский район» Смоленской области от 19.08.2013 года № 363 «Об утверждении Порядка разработки и реализации муниципальных программ муниципального образования «Угранский район» Смоленской области и Порядка </w:t>
            </w:r>
            <w:proofErr w:type="gramStart"/>
            <w:r w:rsidRPr="00ED251D">
              <w:rPr>
                <w:sz w:val="20"/>
                <w:szCs w:val="20"/>
              </w:rPr>
              <w:t>проведения оценки эффективности реализации муниципальных программ</w:t>
            </w:r>
            <w:proofErr w:type="gramEnd"/>
            <w:r w:rsidRPr="00ED251D">
              <w:rPr>
                <w:sz w:val="20"/>
                <w:szCs w:val="20"/>
              </w:rPr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Default="00CE199C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E199C" w:rsidRDefault="00CE199C" w:rsidP="005D74A2">
            <w:pPr>
              <w:rPr>
                <w:sz w:val="20"/>
                <w:szCs w:val="20"/>
              </w:rPr>
            </w:pPr>
          </w:p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ED251D" w:rsidRDefault="00ED251D" w:rsidP="00ED251D"/>
          <w:p w:rsidR="00CE199C" w:rsidRPr="00555870" w:rsidRDefault="00ED251D" w:rsidP="00ED251D">
            <w:pPr>
              <w:rPr>
                <w:sz w:val="20"/>
                <w:szCs w:val="20"/>
              </w:rPr>
            </w:pPr>
            <w:r w:rsidRPr="00BE1F35">
              <w:t>Отдел экономики</w:t>
            </w:r>
            <w:r w:rsidRPr="005558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E199C" w:rsidRPr="00933D85" w:rsidRDefault="00CE199C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ED251D" w:rsidRDefault="00ED251D" w:rsidP="005D74A2">
            <w:pPr>
              <w:rPr>
                <w:sz w:val="20"/>
                <w:szCs w:val="20"/>
              </w:rPr>
            </w:pPr>
          </w:p>
          <w:p w:rsidR="00CE199C" w:rsidRDefault="00CE1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53483"/>
    <w:rsid w:val="000A4197"/>
    <w:rsid w:val="00102706"/>
    <w:rsid w:val="00165BDC"/>
    <w:rsid w:val="001900B3"/>
    <w:rsid w:val="00192070"/>
    <w:rsid w:val="00293F7A"/>
    <w:rsid w:val="002B4326"/>
    <w:rsid w:val="00304E8F"/>
    <w:rsid w:val="00307A2D"/>
    <w:rsid w:val="00332D3B"/>
    <w:rsid w:val="003A2B15"/>
    <w:rsid w:val="00400074"/>
    <w:rsid w:val="004463EC"/>
    <w:rsid w:val="00452610"/>
    <w:rsid w:val="00483A60"/>
    <w:rsid w:val="004D4A73"/>
    <w:rsid w:val="00550D30"/>
    <w:rsid w:val="00555870"/>
    <w:rsid w:val="005A699C"/>
    <w:rsid w:val="005D74A2"/>
    <w:rsid w:val="00627426"/>
    <w:rsid w:val="007B6CD9"/>
    <w:rsid w:val="007C53E5"/>
    <w:rsid w:val="007E3D4A"/>
    <w:rsid w:val="007F5DB0"/>
    <w:rsid w:val="00820ACC"/>
    <w:rsid w:val="00933D85"/>
    <w:rsid w:val="00A42528"/>
    <w:rsid w:val="00A4694A"/>
    <w:rsid w:val="00A900AC"/>
    <w:rsid w:val="00AE4078"/>
    <w:rsid w:val="00AF2B04"/>
    <w:rsid w:val="00B154F3"/>
    <w:rsid w:val="00BB5DF2"/>
    <w:rsid w:val="00BE1654"/>
    <w:rsid w:val="00CE199C"/>
    <w:rsid w:val="00D74341"/>
    <w:rsid w:val="00D920FB"/>
    <w:rsid w:val="00E24E3B"/>
    <w:rsid w:val="00E3147A"/>
    <w:rsid w:val="00E463F9"/>
    <w:rsid w:val="00E967F7"/>
    <w:rsid w:val="00ED251D"/>
    <w:rsid w:val="00F53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25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25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12</cp:revision>
  <cp:lastPrinted>2021-11-11T08:15:00Z</cp:lastPrinted>
  <dcterms:created xsi:type="dcterms:W3CDTF">2021-11-09T11:39:00Z</dcterms:created>
  <dcterms:modified xsi:type="dcterms:W3CDTF">2021-11-11T08:36:00Z</dcterms:modified>
</cp:coreProperties>
</file>