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40153" w14:textId="77777777" w:rsidR="006E2184" w:rsidRDefault="006E2184" w:rsidP="00F8786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51D3D97E" w14:textId="77777777" w:rsidR="00F87861" w:rsidRPr="00DC017F" w:rsidRDefault="00F87861" w:rsidP="00F87861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14:paraId="474B98DB" w14:textId="77777777" w:rsidR="00B5760E" w:rsidRPr="00DC017F" w:rsidRDefault="00B5760E" w:rsidP="00DC0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17F">
        <w:rPr>
          <w:rFonts w:ascii="Times New Roman" w:hAnsi="Times New Roman" w:cs="Times New Roman"/>
          <w:sz w:val="28"/>
          <w:szCs w:val="28"/>
        </w:rPr>
        <w:t>Доклад об антимонопольном</w:t>
      </w:r>
    </w:p>
    <w:p w14:paraId="3A33DA7B" w14:textId="77777777" w:rsidR="0022492A" w:rsidRPr="00DC017F" w:rsidRDefault="00B5760E" w:rsidP="00DC0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17F">
        <w:rPr>
          <w:rFonts w:ascii="Times New Roman" w:hAnsi="Times New Roman" w:cs="Times New Roman"/>
          <w:sz w:val="28"/>
          <w:szCs w:val="28"/>
        </w:rPr>
        <w:t xml:space="preserve">комплаенсе в  Администрации </w:t>
      </w:r>
      <w:r w:rsidR="0022492A" w:rsidRPr="00DC01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251811D" w14:textId="33F5390E" w:rsidR="00B5760E" w:rsidRPr="00DC017F" w:rsidRDefault="00911B1F" w:rsidP="00DC0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17F">
        <w:rPr>
          <w:rFonts w:ascii="Times New Roman" w:hAnsi="Times New Roman" w:cs="Times New Roman"/>
          <w:sz w:val="28"/>
          <w:szCs w:val="28"/>
        </w:rPr>
        <w:t xml:space="preserve">«Угранский </w:t>
      </w:r>
      <w:r w:rsidR="0022492A" w:rsidRPr="00DC017F">
        <w:rPr>
          <w:rFonts w:ascii="Times New Roman" w:hAnsi="Times New Roman" w:cs="Times New Roman"/>
          <w:sz w:val="28"/>
          <w:szCs w:val="28"/>
        </w:rPr>
        <w:t xml:space="preserve"> </w:t>
      </w:r>
      <w:r w:rsidR="0030402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2492A" w:rsidRPr="00DC017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3BD32CF9" w14:textId="77777777" w:rsidR="00A30BB4" w:rsidRPr="00DC017F" w:rsidRDefault="00A30BB4" w:rsidP="00DC01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71149D" w14:textId="5FEBD691" w:rsidR="000E35B7" w:rsidRPr="00044A64" w:rsidRDefault="00A30BB4" w:rsidP="00044A6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4A64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21.12.2017г № 618 «</w:t>
      </w:r>
      <w:r w:rsidR="00B2294F" w:rsidRPr="00044A64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конкуренции»</w:t>
      </w:r>
      <w:r w:rsidR="004B42F8" w:rsidRPr="00044A64">
        <w:rPr>
          <w:rFonts w:ascii="Times New Roman" w:hAnsi="Times New Roman" w:cs="Times New Roman"/>
          <w:sz w:val="28"/>
          <w:szCs w:val="28"/>
        </w:rPr>
        <w:t xml:space="preserve">, руководствуясь распоряжением Правительства Российской Федерации от 18.10.2018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</w:t>
      </w:r>
      <w:r w:rsidR="0089600E" w:rsidRPr="00044A64">
        <w:rPr>
          <w:rFonts w:ascii="Times New Roman" w:hAnsi="Times New Roman" w:cs="Times New Roman"/>
          <w:sz w:val="28"/>
          <w:szCs w:val="28"/>
        </w:rPr>
        <w:t>постановлением</w:t>
      </w:r>
      <w:r w:rsidR="004B42F8" w:rsidRPr="00044A64">
        <w:rPr>
          <w:rFonts w:ascii="Times New Roman" w:hAnsi="Times New Roman" w:cs="Times New Roman"/>
          <w:sz w:val="28"/>
          <w:szCs w:val="28"/>
        </w:rPr>
        <w:t xml:space="preserve"> </w:t>
      </w:r>
      <w:r w:rsidR="00B2294F" w:rsidRPr="00044A64">
        <w:rPr>
          <w:rFonts w:ascii="Times New Roman" w:hAnsi="Times New Roman" w:cs="Times New Roman"/>
          <w:sz w:val="28"/>
          <w:szCs w:val="28"/>
        </w:rPr>
        <w:t xml:space="preserve"> </w:t>
      </w:r>
      <w:r w:rsidR="0022492A" w:rsidRPr="00044A64">
        <w:rPr>
          <w:rFonts w:ascii="Times New Roman" w:hAnsi="Times New Roman" w:cs="Times New Roman"/>
          <w:sz w:val="28"/>
          <w:szCs w:val="28"/>
        </w:rPr>
        <w:t>А</w:t>
      </w:r>
      <w:r w:rsidR="0089600E" w:rsidRPr="00044A64">
        <w:rPr>
          <w:rFonts w:ascii="Times New Roman" w:hAnsi="Times New Roman" w:cs="Times New Roman"/>
          <w:sz w:val="28"/>
          <w:szCs w:val="28"/>
        </w:rPr>
        <w:t>дминистрации</w:t>
      </w:r>
      <w:r w:rsidR="00B2294F" w:rsidRPr="00044A64">
        <w:rPr>
          <w:rFonts w:ascii="Times New Roman" w:hAnsi="Times New Roman" w:cs="Times New Roman"/>
          <w:sz w:val="28"/>
          <w:szCs w:val="28"/>
        </w:rPr>
        <w:t xml:space="preserve"> </w:t>
      </w:r>
      <w:r w:rsidR="0022492A" w:rsidRPr="00044A64">
        <w:rPr>
          <w:rFonts w:ascii="Times New Roman" w:hAnsi="Times New Roman" w:cs="Times New Roman"/>
          <w:sz w:val="28"/>
          <w:szCs w:val="28"/>
        </w:rPr>
        <w:t>муниц</w:t>
      </w:r>
      <w:r w:rsidR="00911B1F" w:rsidRPr="00044A64">
        <w:rPr>
          <w:rFonts w:ascii="Times New Roman" w:hAnsi="Times New Roman" w:cs="Times New Roman"/>
          <w:sz w:val="28"/>
          <w:szCs w:val="28"/>
        </w:rPr>
        <w:t>ипального образования «Угранский</w:t>
      </w:r>
      <w:r w:rsidR="0022492A" w:rsidRPr="00044A64">
        <w:rPr>
          <w:rFonts w:ascii="Times New Roman" w:hAnsi="Times New Roman" w:cs="Times New Roman"/>
          <w:sz w:val="28"/>
          <w:szCs w:val="28"/>
        </w:rPr>
        <w:t xml:space="preserve"> </w:t>
      </w:r>
      <w:r w:rsidR="005F0995" w:rsidRPr="00044A6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2492A" w:rsidRPr="00044A6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64C98" w:rsidRPr="00044A64">
        <w:rPr>
          <w:rFonts w:ascii="Times New Roman" w:hAnsi="Times New Roman" w:cs="Times New Roman"/>
          <w:sz w:val="28"/>
          <w:szCs w:val="28"/>
        </w:rPr>
        <w:t xml:space="preserve"> (далее Администрация)</w:t>
      </w:r>
      <w:r w:rsidR="00B2294F" w:rsidRPr="00044A64">
        <w:rPr>
          <w:rFonts w:ascii="Times New Roman" w:hAnsi="Times New Roman" w:cs="Times New Roman"/>
          <w:sz w:val="28"/>
          <w:szCs w:val="28"/>
        </w:rPr>
        <w:t xml:space="preserve"> </w:t>
      </w:r>
      <w:r w:rsidR="004B42F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B71E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16.02.2026</w:t>
      </w:r>
      <w:r w:rsidR="004B42F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 w:rsidR="004B71E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109</w:t>
      </w:r>
      <w:r w:rsidR="002E39D2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2F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О системе внутреннего обеспечения соответствия требования  </w:t>
      </w:r>
      <w:r w:rsidR="0062236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антимонопольного законодательства </w:t>
      </w:r>
      <w:r w:rsidR="0022492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(антимонопольный комплаенс) </w:t>
      </w:r>
      <w:r w:rsidR="0062236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492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236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22492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</w:t>
      </w:r>
      <w:r w:rsidR="004B42F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азования Угранский  район</w:t>
      </w:r>
      <w:r w:rsidR="0022492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</w:t>
      </w:r>
      <w:r w:rsidR="0089600E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утверждено Положение об организации в Администрации муниципального образования «Угранский </w:t>
      </w:r>
      <w:r w:rsidR="005F0995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89600E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системы внутреннего обеспечения соответствия требованиям антимонопольного законодательства (антимонопольный комплаенс)</w:t>
      </w:r>
      <w:r w:rsidR="0062236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7E92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Положение)</w:t>
      </w:r>
    </w:p>
    <w:p w14:paraId="2030A1CE" w14:textId="63597BF6" w:rsidR="000E35B7" w:rsidRPr="00044A64" w:rsidRDefault="000E35B7" w:rsidP="00044A6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64">
        <w:rPr>
          <w:rFonts w:ascii="Times New Roman" w:hAnsi="Times New Roman" w:cs="Times New Roman"/>
          <w:sz w:val="28"/>
          <w:szCs w:val="28"/>
        </w:rPr>
        <w:t>В целях обеспечения открытости и доступа информации, на официальном сайте Администрации в сети Интернет по адресу</w:t>
      </w:r>
      <w:r w:rsidR="0030402F" w:rsidRPr="00044A64">
        <w:rPr>
          <w:sz w:val="28"/>
          <w:szCs w:val="28"/>
        </w:rPr>
        <w:t xml:space="preserve"> </w:t>
      </w:r>
      <w:hyperlink r:id="rId8" w:history="1">
        <w:r w:rsidR="0030402F" w:rsidRPr="00044A64">
          <w:rPr>
            <w:rStyle w:val="ad"/>
            <w:rFonts w:ascii="Times New Roman" w:hAnsi="Times New Roman" w:cs="Times New Roman"/>
            <w:color w:val="4F81BD" w:themeColor="accent1"/>
            <w:sz w:val="28"/>
            <w:szCs w:val="28"/>
          </w:rPr>
          <w:t>https://ugra.admin-smolensk.ru/otdel-ekonomiki/antimonopolnyj-komplaens/</w:t>
        </w:r>
      </w:hyperlink>
      <w:r w:rsidR="0030402F" w:rsidRPr="00044A6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044A64">
        <w:rPr>
          <w:rFonts w:ascii="Times New Roman" w:hAnsi="Times New Roman" w:cs="Times New Roman"/>
          <w:sz w:val="28"/>
          <w:szCs w:val="28"/>
        </w:rPr>
        <w:t>создан раздел «Антимонопольный комплаенс» для размещения нормативных правовых актов, разработанных Администрацией для функционирования антимонопольного комплаенса, а также доклада об антимонопольном комплаенсе.</w:t>
      </w:r>
    </w:p>
    <w:p w14:paraId="04BC1C5A" w14:textId="77777777" w:rsidR="0022492A" w:rsidRPr="00044A64" w:rsidRDefault="009E7648" w:rsidP="00044A64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A64">
        <w:rPr>
          <w:rFonts w:ascii="Times New Roman" w:hAnsi="Times New Roman" w:cs="Times New Roman"/>
          <w:sz w:val="28"/>
          <w:szCs w:val="28"/>
        </w:rPr>
        <w:t xml:space="preserve">       </w:t>
      </w:r>
      <w:r w:rsidR="00F77553" w:rsidRPr="00044A64">
        <w:rPr>
          <w:rFonts w:ascii="Times New Roman" w:hAnsi="Times New Roman" w:cs="Times New Roman"/>
          <w:sz w:val="28"/>
          <w:szCs w:val="28"/>
        </w:rPr>
        <w:t xml:space="preserve"> </w:t>
      </w:r>
      <w:r w:rsidR="0022492A" w:rsidRPr="00044A64">
        <w:rPr>
          <w:rFonts w:ascii="Times New Roman" w:eastAsia="Calibri" w:hAnsi="Times New Roman" w:cs="Times New Roman"/>
          <w:sz w:val="28"/>
          <w:szCs w:val="28"/>
        </w:rPr>
        <w:t>Функции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Администрации в соответствии с их компетенцией</w:t>
      </w:r>
      <w:r w:rsidR="007602D5" w:rsidRPr="00044A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986B3B" w14:textId="0ED41094" w:rsidR="00F77553" w:rsidRPr="00044A64" w:rsidRDefault="00F77553" w:rsidP="00044A64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A6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>Во исполнение пункта 4.1 раздела 4 Положения в целях снижения рисков нарушения антимонопольного законодательства разработан план мероприятий («дорожная карта») по снижению рисков антимонопольного комплаенса. План мероприятий («дорожная карта»</w:t>
      </w:r>
      <w:r w:rsidR="00F736AA" w:rsidRPr="00044A64">
        <w:rPr>
          <w:rFonts w:ascii="Times New Roman" w:eastAsia="Calibri" w:hAnsi="Times New Roman" w:cs="Times New Roman"/>
          <w:sz w:val="28"/>
          <w:szCs w:val="28"/>
        </w:rPr>
        <w:t>)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 xml:space="preserve"> по снижению рисков антимоноп</w:t>
      </w:r>
      <w:r w:rsidR="00B603EC" w:rsidRPr="00044A64">
        <w:rPr>
          <w:rFonts w:ascii="Times New Roman" w:eastAsia="Calibri" w:hAnsi="Times New Roman" w:cs="Times New Roman"/>
          <w:sz w:val="28"/>
          <w:szCs w:val="28"/>
        </w:rPr>
        <w:t>ольного законодательства на 202</w:t>
      </w:r>
      <w:r w:rsidR="009D35DC" w:rsidRPr="00044A64">
        <w:rPr>
          <w:rFonts w:ascii="Times New Roman" w:eastAsia="Calibri" w:hAnsi="Times New Roman" w:cs="Times New Roman"/>
          <w:sz w:val="28"/>
          <w:szCs w:val="28"/>
        </w:rPr>
        <w:t>3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 xml:space="preserve"> год утвержден постановление</w:t>
      </w:r>
      <w:r w:rsidR="00F736AA" w:rsidRPr="00044A64">
        <w:rPr>
          <w:rFonts w:ascii="Times New Roman" w:eastAsia="Calibri" w:hAnsi="Times New Roman" w:cs="Times New Roman"/>
          <w:sz w:val="28"/>
          <w:szCs w:val="28"/>
        </w:rPr>
        <w:t>м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«Угранский </w:t>
      </w:r>
      <w:r w:rsidR="0030402F" w:rsidRPr="00044A64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603EC" w:rsidRPr="00044A64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от </w:t>
      </w:r>
      <w:r w:rsidR="001D3853" w:rsidRPr="00044A64">
        <w:rPr>
          <w:rFonts w:ascii="Times New Roman" w:eastAsia="Calibri" w:hAnsi="Times New Roman" w:cs="Times New Roman"/>
          <w:sz w:val="28"/>
          <w:szCs w:val="28"/>
        </w:rPr>
        <w:t>30</w:t>
      </w:r>
      <w:r w:rsidR="00B603EC" w:rsidRPr="00044A64">
        <w:rPr>
          <w:rFonts w:ascii="Times New Roman" w:eastAsia="Calibri" w:hAnsi="Times New Roman" w:cs="Times New Roman"/>
          <w:sz w:val="28"/>
          <w:szCs w:val="28"/>
        </w:rPr>
        <w:t>.12.2021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402F" w:rsidRPr="00044A64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F87861" w:rsidRPr="00044A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853" w:rsidRPr="00044A64">
        <w:rPr>
          <w:rFonts w:ascii="Times New Roman" w:eastAsia="Calibri" w:hAnsi="Times New Roman" w:cs="Times New Roman"/>
          <w:sz w:val="28"/>
          <w:szCs w:val="28"/>
        </w:rPr>
        <w:t>565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плана мероприятий («дорожной карты») по снижению комплаенс - рисков и ключевых показателей эффективности 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антимонопольного законодательства Администрации муниципального образования «Угранский </w:t>
      </w:r>
      <w:r w:rsidR="0030402F" w:rsidRPr="00044A64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B57E92" w:rsidRPr="00044A64">
        <w:rPr>
          <w:rFonts w:ascii="Times New Roman" w:eastAsia="Calibri" w:hAnsi="Times New Roman" w:cs="Times New Roman"/>
          <w:sz w:val="28"/>
          <w:szCs w:val="28"/>
        </w:rPr>
        <w:t>» Смоленской области»</w:t>
      </w:r>
    </w:p>
    <w:p w14:paraId="55569BA9" w14:textId="77777777" w:rsidR="004931FC" w:rsidRPr="00044A64" w:rsidRDefault="00F91445" w:rsidP="00044A6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64">
        <w:rPr>
          <w:rFonts w:ascii="Times New Roman" w:hAnsi="Times New Roman" w:cs="Times New Roman"/>
          <w:sz w:val="28"/>
          <w:szCs w:val="28"/>
        </w:rPr>
        <w:t>В соответствии с дорожной картой, структурными подразделениями Администрации проведен сбор сведений и анализ информации о наличии нарушений антимонопольного законодательства</w:t>
      </w:r>
      <w:r w:rsidR="004C0E93" w:rsidRPr="00044A64">
        <w:rPr>
          <w:rFonts w:ascii="Times New Roman" w:hAnsi="Times New Roman" w:cs="Times New Roman"/>
          <w:sz w:val="28"/>
          <w:szCs w:val="28"/>
        </w:rPr>
        <w:t xml:space="preserve"> за предыдущие 3 года</w:t>
      </w:r>
      <w:r w:rsidRPr="00044A64">
        <w:rPr>
          <w:rFonts w:ascii="Times New Roman" w:hAnsi="Times New Roman" w:cs="Times New Roman"/>
          <w:sz w:val="28"/>
          <w:szCs w:val="28"/>
        </w:rPr>
        <w:t>.</w:t>
      </w:r>
    </w:p>
    <w:p w14:paraId="769E8B71" w14:textId="62167DB3" w:rsidR="004931FC" w:rsidRPr="00044A64" w:rsidRDefault="005F0995" w:rsidP="00044A64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2023</w:t>
      </w:r>
      <w:r w:rsidR="004931FC"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 </w:t>
      </w: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нарушений антимонопольного законодательства не выявлено</w:t>
      </w:r>
      <w:r w:rsidR="00D20C61"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B586137" w14:textId="4D2800B3" w:rsidR="00B603EC" w:rsidRPr="00044A64" w:rsidRDefault="00B603EC" w:rsidP="00044A64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</w:t>
      </w:r>
      <w:r w:rsidR="005F0995"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2024 год</w:t>
      </w: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F0995"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нарушений антимонопольного законодательства не выявлено</w:t>
      </w: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48965BDD" w14:textId="0DC5DBB7" w:rsidR="009D35DC" w:rsidRPr="00044A64" w:rsidRDefault="009D35DC" w:rsidP="00044A64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</w:t>
      </w:r>
      <w:r w:rsidR="005F0995"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2025</w:t>
      </w: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 нарушений антимонопольного законодательства не выявлено.</w:t>
      </w:r>
    </w:p>
    <w:p w14:paraId="4B4F01CE" w14:textId="72A7D47E" w:rsidR="00656E9C" w:rsidRPr="00044A64" w:rsidRDefault="00E77B42" w:rsidP="00044A6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Действующие нормативные правовые акты, разработанные Администрацией </w:t>
      </w:r>
      <w:r w:rsidR="0030402F"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размещены на</w:t>
      </w:r>
      <w:r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официальном сайте </w:t>
      </w:r>
      <w:r w:rsidR="005F0995" w:rsidRPr="00044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Администрации</w:t>
      </w:r>
      <w:r w:rsidR="005F0995" w:rsidRPr="00044A64">
        <w:rPr>
          <w:rFonts w:ascii="Times New Roman" w:hAnsi="Times New Roman" w:cs="Times New Roman"/>
          <w:sz w:val="28"/>
          <w:szCs w:val="28"/>
        </w:rPr>
        <w:t xml:space="preserve"> в</w:t>
      </w:r>
      <w:r w:rsidRPr="00044A64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EB0CF9" w:rsidRPr="00044A64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656E9C" w:rsidRPr="00044A64">
        <w:rPr>
          <w:rFonts w:ascii="Times New Roman" w:hAnsi="Times New Roman" w:cs="Times New Roman"/>
          <w:sz w:val="28"/>
          <w:szCs w:val="28"/>
        </w:rPr>
        <w:t>:</w:t>
      </w:r>
      <w:r w:rsidR="00EB0CF9" w:rsidRPr="00044A6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105117B" w14:textId="77777777" w:rsidR="009D35DC" w:rsidRPr="00044A64" w:rsidRDefault="009D35DC" w:rsidP="00044A64">
      <w:pPr>
        <w:pStyle w:val="af0"/>
        <w:spacing w:line="276" w:lineRule="auto"/>
        <w:ind w:right="126" w:firstLine="0"/>
        <w:rPr>
          <w:color w:val="1F497D" w:themeColor="text2"/>
          <w:u w:val="single"/>
        </w:rPr>
      </w:pPr>
      <w:r w:rsidRPr="00044A64">
        <w:rPr>
          <w:rFonts w:eastAsiaTheme="minorHAnsi"/>
          <w:color w:val="1F497D" w:themeColor="text2"/>
          <w:u w:val="single"/>
        </w:rPr>
        <w:t>https://ugra.admin-smolensk.ru/</w:t>
      </w:r>
      <w:r w:rsidR="00EB0CF9" w:rsidRPr="00044A64">
        <w:rPr>
          <w:color w:val="1F497D" w:themeColor="text2"/>
          <w:u w:val="single"/>
        </w:rPr>
        <w:t xml:space="preserve">       </w:t>
      </w:r>
    </w:p>
    <w:p w14:paraId="2A7C66C3" w14:textId="09C90A19" w:rsidR="00656E9C" w:rsidRPr="00044A64" w:rsidRDefault="00945F1C" w:rsidP="00044A64">
      <w:pPr>
        <w:pStyle w:val="af0"/>
        <w:spacing w:line="276" w:lineRule="auto"/>
        <w:ind w:right="126" w:firstLine="0"/>
        <w:rPr>
          <w:color w:val="000000" w:themeColor="text1"/>
        </w:rPr>
      </w:pPr>
      <w:r w:rsidRPr="00044A64">
        <w:rPr>
          <w:color w:val="000000" w:themeColor="text1"/>
        </w:rPr>
        <w:t xml:space="preserve">Проекты нормативных правовых актов размещаются </w:t>
      </w:r>
      <w:r w:rsidR="00EB0CF9" w:rsidRPr="00044A64">
        <w:rPr>
          <w:color w:val="000000" w:themeColor="text1"/>
        </w:rPr>
        <w:t xml:space="preserve">на </w:t>
      </w:r>
      <w:r w:rsidRPr="00044A64">
        <w:rPr>
          <w:color w:val="000000" w:themeColor="text1"/>
        </w:rPr>
        <w:t xml:space="preserve">официальном </w:t>
      </w:r>
      <w:r w:rsidR="00EB0CF9" w:rsidRPr="00044A64">
        <w:rPr>
          <w:color w:val="000000" w:themeColor="text1"/>
        </w:rPr>
        <w:t xml:space="preserve">сайте </w:t>
      </w:r>
      <w:r w:rsidR="0030402F" w:rsidRPr="00044A64">
        <w:rPr>
          <w:color w:val="000000" w:themeColor="text1"/>
        </w:rPr>
        <w:t>Администрации в</w:t>
      </w:r>
      <w:r w:rsidR="00EB0CF9" w:rsidRPr="00044A64">
        <w:rPr>
          <w:color w:val="000000" w:themeColor="text1"/>
        </w:rPr>
        <w:t xml:space="preserve"> информационно-телекоммуникационной сети «Интернет»</w:t>
      </w:r>
      <w:r w:rsidR="00656E9C" w:rsidRPr="00044A64">
        <w:rPr>
          <w:color w:val="000000" w:themeColor="text1"/>
        </w:rPr>
        <w:t>:</w:t>
      </w:r>
      <w:r w:rsidR="00EB0CF9" w:rsidRPr="00044A64">
        <w:rPr>
          <w:color w:val="000000" w:themeColor="text1"/>
        </w:rPr>
        <w:t xml:space="preserve"> </w:t>
      </w:r>
      <w:r w:rsidR="009D35DC" w:rsidRPr="00044A64">
        <w:rPr>
          <w:color w:val="1F497D" w:themeColor="text2"/>
          <w:u w:val="single"/>
        </w:rPr>
        <w:t>https://ugra.admin-smolensk.ru/</w:t>
      </w:r>
      <w:r w:rsidR="00656E9C" w:rsidRPr="00044A64">
        <w:rPr>
          <w:color w:val="1F497D" w:themeColor="text2"/>
          <w:u w:val="single"/>
        </w:rPr>
        <w:t>.</w:t>
      </w:r>
    </w:p>
    <w:p w14:paraId="017F20D5" w14:textId="5703DBCE" w:rsidR="00945F1C" w:rsidRPr="00044A64" w:rsidRDefault="00044A64" w:rsidP="00044A64">
      <w:pPr>
        <w:pStyle w:val="af0"/>
        <w:spacing w:line="276" w:lineRule="auto"/>
        <w:ind w:left="0" w:right="125" w:firstLine="0"/>
        <w:rPr>
          <w:color w:val="000000" w:themeColor="text1"/>
        </w:rPr>
      </w:pPr>
      <w:hyperlink r:id="rId9" w:history="1"/>
      <w:r w:rsidR="00656E9C" w:rsidRPr="00044A64">
        <w:rPr>
          <w:color w:val="000000" w:themeColor="text1"/>
        </w:rPr>
        <w:t xml:space="preserve">       </w:t>
      </w:r>
      <w:r w:rsidR="00945F1C" w:rsidRPr="00044A64">
        <w:rPr>
          <w:color w:val="000000" w:themeColor="text1"/>
        </w:rPr>
        <w:t xml:space="preserve"> Структурными подразделениями Администрации</w:t>
      </w:r>
      <w:r w:rsidR="000B1C7E" w:rsidRPr="00044A64">
        <w:rPr>
          <w:color w:val="000000" w:themeColor="text1"/>
        </w:rPr>
        <w:t xml:space="preserve"> (в части </w:t>
      </w:r>
      <w:r w:rsidR="0030402F" w:rsidRPr="00044A64">
        <w:rPr>
          <w:color w:val="000000" w:themeColor="text1"/>
        </w:rPr>
        <w:t>касающейся) на</w:t>
      </w:r>
      <w:r w:rsidR="00945F1C" w:rsidRPr="00044A64">
        <w:rPr>
          <w:color w:val="000000" w:themeColor="text1"/>
        </w:rPr>
        <w:t xml:space="preserve"> постоянной основе осуществляется мониторинг и анализ практики применения </w:t>
      </w:r>
      <w:r w:rsidR="0030402F" w:rsidRPr="00044A64">
        <w:rPr>
          <w:color w:val="000000" w:themeColor="text1"/>
        </w:rPr>
        <w:t>Администрацией антимонопольного</w:t>
      </w:r>
      <w:r w:rsidR="00945F1C" w:rsidRPr="00044A64">
        <w:rPr>
          <w:color w:val="000000" w:themeColor="text1"/>
        </w:rPr>
        <w:t xml:space="preserve"> законодательства.  </w:t>
      </w:r>
    </w:p>
    <w:p w14:paraId="051B44A1" w14:textId="77777777" w:rsidR="00554720" w:rsidRPr="00044A64" w:rsidRDefault="00554720" w:rsidP="00044A64">
      <w:pPr>
        <w:pStyle w:val="af0"/>
        <w:spacing w:line="276" w:lineRule="auto"/>
        <w:ind w:right="126" w:firstLine="0"/>
        <w:rPr>
          <w:color w:val="000000" w:themeColor="text1"/>
        </w:rPr>
      </w:pPr>
      <w:r w:rsidRPr="00044A64">
        <w:rPr>
          <w:color w:val="000000" w:themeColor="text1"/>
        </w:rPr>
        <w:t xml:space="preserve">       Уполномоченным подразделением в течение года проводится оценка рисков нарушения антимонопольного законодательства. В ходе анализа выявляемых нарушений установлено, что наиболее высокий уровень рисков, которые могут повлечь нарушения антимонопольного законодательства присутствуют в деятельности структурных подразделений курирующих сферу закупок и имущественные вопросы.</w:t>
      </w:r>
    </w:p>
    <w:p w14:paraId="02247F47" w14:textId="77777777" w:rsidR="00004A68" w:rsidRPr="00044A64" w:rsidRDefault="00004A68" w:rsidP="00044A64">
      <w:pPr>
        <w:pStyle w:val="af0"/>
        <w:spacing w:line="276" w:lineRule="auto"/>
        <w:ind w:right="128"/>
        <w:rPr>
          <w:color w:val="000000" w:themeColor="text1"/>
        </w:rPr>
      </w:pPr>
      <w:r w:rsidRPr="00044A64">
        <w:rPr>
          <w:color w:val="000000" w:themeColor="text1"/>
        </w:rPr>
        <w:t>Уполномоченным подразделением   на постоянной основе осуществляется мониторинг исполнения мероприятий</w:t>
      </w:r>
      <w:r w:rsidRPr="00044A64">
        <w:rPr>
          <w:color w:val="000000" w:themeColor="text1"/>
          <w:spacing w:val="-1"/>
        </w:rPr>
        <w:t xml:space="preserve"> </w:t>
      </w:r>
      <w:r w:rsidRPr="00044A64">
        <w:rPr>
          <w:color w:val="000000" w:themeColor="text1"/>
        </w:rPr>
        <w:t>дорожной</w:t>
      </w:r>
      <w:r w:rsidRPr="00044A64">
        <w:rPr>
          <w:color w:val="000000" w:themeColor="text1"/>
          <w:spacing w:val="-5"/>
        </w:rPr>
        <w:t xml:space="preserve"> </w:t>
      </w:r>
      <w:r w:rsidRPr="00044A64">
        <w:rPr>
          <w:color w:val="000000" w:themeColor="text1"/>
        </w:rPr>
        <w:t>карты для обеспечения соответствия деятельности Администрации требованиям антимонопольного законодательства.</w:t>
      </w:r>
    </w:p>
    <w:p w14:paraId="4D337AE7" w14:textId="5C91F064" w:rsidR="00004A68" w:rsidRPr="00044A64" w:rsidRDefault="00004A68" w:rsidP="00044A64">
      <w:pPr>
        <w:pStyle w:val="af0"/>
        <w:spacing w:line="276" w:lineRule="auto"/>
        <w:ind w:right="120"/>
        <w:rPr>
          <w:color w:val="000000" w:themeColor="text1"/>
        </w:rPr>
      </w:pPr>
      <w:r w:rsidRPr="00044A64">
        <w:rPr>
          <w:color w:val="000000" w:themeColor="text1"/>
        </w:rPr>
        <w:t>Кроме того, уполномоченным подразделением проведен расчет ключевых показателей эффективности функционирования антимонопольного комплаенса дея</w:t>
      </w:r>
      <w:r w:rsidR="005A5C2A" w:rsidRPr="00044A64">
        <w:rPr>
          <w:color w:val="000000" w:themeColor="text1"/>
        </w:rPr>
        <w:t xml:space="preserve">тельности </w:t>
      </w:r>
      <w:r w:rsidR="00233238" w:rsidRPr="00044A64">
        <w:rPr>
          <w:color w:val="000000" w:themeColor="text1"/>
        </w:rPr>
        <w:t>Администрации на</w:t>
      </w:r>
      <w:r w:rsidR="005A5C2A" w:rsidRPr="00044A64">
        <w:rPr>
          <w:color w:val="000000" w:themeColor="text1"/>
        </w:rPr>
        <w:t xml:space="preserve"> 202</w:t>
      </w:r>
      <w:r w:rsidR="009D35DC" w:rsidRPr="00044A64">
        <w:rPr>
          <w:color w:val="000000" w:themeColor="text1"/>
        </w:rPr>
        <w:t>3</w:t>
      </w:r>
      <w:r w:rsidRPr="00044A64">
        <w:rPr>
          <w:color w:val="000000" w:themeColor="text1"/>
        </w:rPr>
        <w:t xml:space="preserve"> </w:t>
      </w:r>
      <w:r w:rsidR="00233238" w:rsidRPr="00044A64">
        <w:rPr>
          <w:color w:val="000000" w:themeColor="text1"/>
        </w:rPr>
        <w:t>год:</w:t>
      </w:r>
    </w:p>
    <w:p w14:paraId="4AFEBBA6" w14:textId="77777777" w:rsidR="00004A68" w:rsidRPr="00044A64" w:rsidRDefault="00004A68" w:rsidP="00044A64">
      <w:pPr>
        <w:pStyle w:val="a3"/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spacing w:after="0"/>
        <w:ind w:right="134" w:firstLine="71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снижения количества нарушений антимонопольного законодательства со стороны Администрации;</w:t>
      </w:r>
    </w:p>
    <w:p w14:paraId="2971B283" w14:textId="77777777" w:rsidR="00004A68" w:rsidRPr="00044A64" w:rsidRDefault="00004A68" w:rsidP="00044A64">
      <w:pPr>
        <w:pStyle w:val="a3"/>
        <w:widowControl w:val="0"/>
        <w:numPr>
          <w:ilvl w:val="0"/>
          <w:numId w:val="9"/>
        </w:numPr>
        <w:tabs>
          <w:tab w:val="left" w:pos="1026"/>
        </w:tabs>
        <w:autoSpaceDE w:val="0"/>
        <w:autoSpaceDN w:val="0"/>
        <w:spacing w:after="0"/>
        <w:ind w:right="132" w:firstLine="71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доля проектов нормативных правовых актов Администрации, в которых выявлены риски нарушения антимонопольного законодательства;</w:t>
      </w:r>
    </w:p>
    <w:p w14:paraId="09DA11F3" w14:textId="1D6D6337" w:rsidR="00004A68" w:rsidRPr="00044A64" w:rsidRDefault="00233238" w:rsidP="00044A64">
      <w:pPr>
        <w:pStyle w:val="a3"/>
        <w:widowControl w:val="0"/>
        <w:numPr>
          <w:ilvl w:val="0"/>
          <w:numId w:val="9"/>
        </w:numPr>
        <w:tabs>
          <w:tab w:val="left" w:pos="1026"/>
        </w:tabs>
        <w:autoSpaceDE w:val="0"/>
        <w:autoSpaceDN w:val="0"/>
        <w:spacing w:after="0"/>
        <w:ind w:right="136" w:firstLine="71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доля проектов нормативных правовых актов Администрации,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выявлены риски нарушения антимонопольного </w:t>
      </w:r>
      <w:r w:rsidR="00004A68" w:rsidRPr="00044A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законодательства.</w:t>
      </w:r>
    </w:p>
    <w:p w14:paraId="0DEF6043" w14:textId="77777777" w:rsidR="005A5C2A" w:rsidRPr="00044A64" w:rsidRDefault="004B5795" w:rsidP="00044A64">
      <w:pPr>
        <w:tabs>
          <w:tab w:val="left" w:pos="1026"/>
        </w:tabs>
        <w:spacing w:after="0"/>
        <w:ind w:left="113" w:right="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- к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оличество сотрудников Администрации района, прошедших обучающие мероприятия (семинары, круглые столы) по антимонопольному законодательст</w:t>
      </w:r>
      <w:r w:rsidR="005A5C2A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 и антимонопольному комплаенсу. </w:t>
      </w:r>
    </w:p>
    <w:p w14:paraId="334C9AAB" w14:textId="77777777" w:rsidR="00004A68" w:rsidRPr="00044A64" w:rsidRDefault="005A5C2A" w:rsidP="00044A64">
      <w:pPr>
        <w:tabs>
          <w:tab w:val="left" w:pos="1026"/>
        </w:tabs>
        <w:spacing w:after="0"/>
        <w:ind w:left="113" w:right="1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Расчет ключевых показателей эффективности функционирования антимонопольного комплаенса в Администрации осуществлен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</w:t>
      </w:r>
      <w:r w:rsidR="00004A68" w:rsidRPr="00044A64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="00004A68" w:rsidRPr="00044A64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</w:t>
      </w:r>
      <w:r w:rsidR="00004A68" w:rsidRPr="00044A64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антимонопольной</w:t>
      </w:r>
      <w:r w:rsidR="00004A68" w:rsidRPr="00044A64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="00004A68" w:rsidRPr="00044A64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004A68" w:rsidRPr="00044A64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05.02.2019</w:t>
      </w:r>
      <w:r w:rsidR="00064C9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04A68" w:rsidRPr="00044A6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064C9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133/19 (далее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Методика), а также в соответствии с разъяснениями о применении Методики, представленными в письме руководителя ФАС</w:t>
      </w:r>
      <w:r w:rsidR="00004A68" w:rsidRPr="00044A64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="00004A68" w:rsidRPr="00044A64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004A68" w:rsidRPr="00044A64">
        <w:rPr>
          <w:rFonts w:ascii="Times New Roman" w:hAnsi="Times New Roman" w:cs="Times New Roman"/>
          <w:color w:val="000000" w:themeColor="text1"/>
          <w:sz w:val="28"/>
          <w:szCs w:val="28"/>
        </w:rPr>
        <w:t>И.Ю. Артемьева от 18.06.2019 № ИА/51052/19.</w:t>
      </w:r>
    </w:p>
    <w:p w14:paraId="0327E4FE" w14:textId="77777777" w:rsidR="004B71E8" w:rsidRPr="00044A64" w:rsidRDefault="004B71E8" w:rsidP="00044A64">
      <w:pPr>
        <w:widowControl w:val="0"/>
        <w:tabs>
          <w:tab w:val="left" w:pos="979"/>
        </w:tabs>
        <w:spacing w:after="0" w:line="240" w:lineRule="auto"/>
        <w:ind w:right="23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Коэффициент снижения количества нарушений антимонопольного законодательства со стороны Администрации (по сравнению с 2024 годом) рассчитывается по формуле:</w:t>
      </w:r>
    </w:p>
    <w:p w14:paraId="2C88A40A" w14:textId="77777777" w:rsidR="004B71E8" w:rsidRPr="00044A64" w:rsidRDefault="004B71E8" w:rsidP="00044A64">
      <w:pPr>
        <w:widowControl w:val="0"/>
        <w:tabs>
          <w:tab w:val="right" w:pos="2817"/>
        </w:tabs>
        <w:spacing w:after="0" w:line="240" w:lineRule="auto"/>
        <w:ind w:left="20" w:firstLine="740"/>
        <w:jc w:val="both"/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ab/>
      </w:r>
    </w:p>
    <w:p w14:paraId="1109DD38" w14:textId="77777777" w:rsidR="004B71E8" w:rsidRPr="00044A64" w:rsidRDefault="004B71E8" w:rsidP="00044A64">
      <w:pPr>
        <w:widowControl w:val="0"/>
        <w:tabs>
          <w:tab w:val="left" w:pos="979"/>
        </w:tabs>
        <w:spacing w:after="0" w:line="240" w:lineRule="auto"/>
        <w:ind w:right="20" w:firstLine="851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КСН=КН2024/ КНоп *100 %,</w:t>
      </w: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>где</w:t>
      </w:r>
    </w:p>
    <w:p w14:paraId="42785FB2" w14:textId="77777777" w:rsidR="004B71E8" w:rsidRPr="00044A64" w:rsidRDefault="004B71E8" w:rsidP="00044A64">
      <w:pPr>
        <w:widowControl w:val="0"/>
        <w:tabs>
          <w:tab w:val="left" w:pos="97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</w:p>
    <w:p w14:paraId="1EFC0BE7" w14:textId="77777777" w:rsidR="004B71E8" w:rsidRPr="00044A64" w:rsidRDefault="004B71E8" w:rsidP="00044A64">
      <w:pPr>
        <w:widowControl w:val="0"/>
        <w:tabs>
          <w:tab w:val="left" w:pos="979"/>
        </w:tabs>
        <w:spacing w:after="0" w:line="240" w:lineRule="auto"/>
        <w:ind w:left="760" w:right="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КСН - коэффициент снижения количества нарушений антимонопольного законодательства со стороны Администрации по сравнению с 2024 годом;</w:t>
      </w:r>
    </w:p>
    <w:p w14:paraId="46616766" w14:textId="77777777" w:rsidR="004B71E8" w:rsidRPr="00044A64" w:rsidRDefault="004B71E8" w:rsidP="00044A64">
      <w:pPr>
        <w:widowControl w:val="0"/>
        <w:tabs>
          <w:tab w:val="left" w:pos="1658"/>
        </w:tabs>
        <w:spacing w:after="0" w:line="240" w:lineRule="auto"/>
        <w:ind w:left="23" w:firstLine="743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КН2024</w:t>
      </w:r>
      <w:r w:rsidRPr="00044A64">
        <w:rPr>
          <w:rFonts w:ascii="Times New Roman" w:eastAsia="Times New Roman" w:hAnsi="Times New Roman"/>
          <w:spacing w:val="4"/>
          <w:sz w:val="28"/>
          <w:szCs w:val="28"/>
          <w:shd w:val="clear" w:color="auto" w:fill="FFFFFF"/>
          <w:lang w:eastAsia="ru-RU"/>
        </w:rPr>
        <w:tab/>
      </w: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количество нарушений антимонопольного законодательства со стороны Администрации в 2024 году;</w:t>
      </w:r>
    </w:p>
    <w:p w14:paraId="21C87CAA" w14:textId="77777777" w:rsidR="004B71E8" w:rsidRPr="00044A64" w:rsidRDefault="004B71E8" w:rsidP="00044A64">
      <w:pPr>
        <w:widowControl w:val="0"/>
        <w:spacing w:after="0" w:line="240" w:lineRule="auto"/>
        <w:ind w:left="23" w:right="20" w:firstLine="743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КНоп - количество нарушений антимонопольного законодательства со стороны Администрации в отчетном периоде.</w:t>
      </w:r>
    </w:p>
    <w:p w14:paraId="2363399C" w14:textId="77777777" w:rsidR="004B71E8" w:rsidRPr="00044A64" w:rsidRDefault="004B71E8" w:rsidP="00044A64">
      <w:pPr>
        <w:widowControl w:val="0"/>
        <w:spacing w:after="0" w:line="240" w:lineRule="auto"/>
        <w:ind w:left="23" w:right="20" w:firstLine="743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Вместе с тем, если в 2024 году и в отчетном периоде отсутствовали нарушения антимонопольного законодательства, значение числителя или знаменателя (соответственно) принимается равным единице.</w:t>
      </w:r>
    </w:p>
    <w:p w14:paraId="30A5E3D3" w14:textId="77777777" w:rsidR="004B71E8" w:rsidRPr="00044A64" w:rsidRDefault="004B71E8" w:rsidP="00044A64">
      <w:pPr>
        <w:widowControl w:val="0"/>
        <w:spacing w:after="0" w:line="240" w:lineRule="auto"/>
        <w:ind w:left="23" w:right="20" w:firstLine="743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Поэтому коэффициент снижения количества нарушений антимонопольного законодательства со стороны Администрации (по сравнению с 2024 годом) равен 100%, что соответствует значению ключевого показателя на 2025 год.</w:t>
      </w:r>
    </w:p>
    <w:p w14:paraId="6721DA6F" w14:textId="77777777" w:rsidR="004B71E8" w:rsidRPr="00044A64" w:rsidRDefault="004B71E8" w:rsidP="00044A64">
      <w:pPr>
        <w:widowControl w:val="0"/>
        <w:tabs>
          <w:tab w:val="left" w:pos="97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>Доля проектов нормативных правовых актов Администрации, в которых выявлены риски нарушения антимонопольного законодательства, рассчитывается по формуле:</w:t>
      </w:r>
    </w:p>
    <w:p w14:paraId="18C5CACA" w14:textId="77777777" w:rsidR="004B71E8" w:rsidRPr="00044A64" w:rsidRDefault="004B71E8" w:rsidP="00044A64">
      <w:pPr>
        <w:widowControl w:val="0"/>
        <w:tabs>
          <w:tab w:val="right" w:pos="2817"/>
        </w:tabs>
        <w:spacing w:after="0" w:line="190" w:lineRule="exact"/>
        <w:ind w:left="20" w:firstLine="740"/>
        <w:jc w:val="both"/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ab/>
      </w:r>
    </w:p>
    <w:p w14:paraId="77016186" w14:textId="77777777" w:rsidR="004B71E8" w:rsidRPr="00044A64" w:rsidRDefault="004B71E8" w:rsidP="00044A64">
      <w:pPr>
        <w:widowControl w:val="0"/>
        <w:tabs>
          <w:tab w:val="left" w:leader="hyphen" w:pos="2867"/>
        </w:tabs>
        <w:spacing w:after="0" w:line="250" w:lineRule="exact"/>
        <w:ind w:left="20" w:firstLine="740"/>
        <w:jc w:val="both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vertAlign w:val="superscript"/>
          <w:lang w:eastAsia="ru-RU"/>
        </w:rPr>
      </w:pPr>
      <w:r w:rsidRPr="00044A64"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  <w:t xml:space="preserve">Дпнпа =Кпнпа/КНоп*100%, где </w:t>
      </w:r>
    </w:p>
    <w:p w14:paraId="0B075016" w14:textId="77777777" w:rsidR="004B71E8" w:rsidRPr="00044A64" w:rsidRDefault="004B71E8" w:rsidP="00044A64">
      <w:pPr>
        <w:widowControl w:val="0"/>
        <w:tabs>
          <w:tab w:val="left" w:leader="hyphen" w:pos="2867"/>
        </w:tabs>
        <w:spacing w:after="0" w:line="250" w:lineRule="exact"/>
        <w:ind w:left="20" w:firstLine="740"/>
        <w:jc w:val="both"/>
        <w:rPr>
          <w:rFonts w:ascii="Times New Roman" w:eastAsia="Times New Roman" w:hAnsi="Times New Roman"/>
          <w:spacing w:val="1"/>
          <w:w w:val="150"/>
          <w:sz w:val="28"/>
          <w:szCs w:val="28"/>
          <w:lang w:eastAsia="ru-RU"/>
        </w:rPr>
      </w:pPr>
    </w:p>
    <w:p w14:paraId="32981FF4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Дпнпа - доля проектов нормативных правовых актов Администрации, в которых выявлены риски нарушения антимонопольного законодательства;</w:t>
      </w:r>
    </w:p>
    <w:p w14:paraId="110EA3D1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Кпнпа - количество проектов нормативных правовых актов Администрации, в которых данным органом выявлены риски нарушения антимонопольного законодательства (в отчетном периоде);</w:t>
      </w:r>
    </w:p>
    <w:p w14:paraId="79AF4A09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КНоп -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14:paraId="54B8358D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Если в отчетном периоде отсутствовали проекты нормативных правовых актов, в которых Администрацией были выявлены риски нарушения антимонопольного законодательства, либо отсутствовали нормативные правовые акты, в которых антимонопольным органом выявлены нарушения антимонопольного законодательства, значение числителя или знаменателя (соответственно) принимается равным нулю.</w:t>
      </w:r>
    </w:p>
    <w:p w14:paraId="39EB4CD9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Доля проектов нормативных правовых актов Администрации, в которых выявлены риски нарушения антимонопольного законодательства, равна 0 %, что соответствует значению ключевого показателя на 2025 год.</w:t>
      </w:r>
    </w:p>
    <w:p w14:paraId="12EFE685" w14:textId="77777777" w:rsidR="004B71E8" w:rsidRPr="00044A64" w:rsidRDefault="004B71E8" w:rsidP="00044A64">
      <w:pPr>
        <w:widowControl w:val="0"/>
        <w:tabs>
          <w:tab w:val="left" w:pos="1018"/>
        </w:tabs>
        <w:spacing w:after="0" w:line="322" w:lineRule="exact"/>
        <w:ind w:right="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ab/>
        <w:t>Доля нормативных правовых актов Администрации, в которых выявлены риски нарушения антимонопольного законодательства рассчитывается по формуле:</w:t>
      </w:r>
    </w:p>
    <w:p w14:paraId="186B2CF3" w14:textId="77777777" w:rsidR="004B71E8" w:rsidRPr="00044A64" w:rsidRDefault="004B71E8" w:rsidP="00044A64">
      <w:pPr>
        <w:widowControl w:val="0"/>
        <w:tabs>
          <w:tab w:val="right" w:pos="2996"/>
        </w:tabs>
        <w:spacing w:after="0" w:line="230" w:lineRule="exact"/>
        <w:ind w:left="20" w:firstLine="720"/>
        <w:jc w:val="both"/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ab/>
      </w:r>
    </w:p>
    <w:p w14:paraId="62A81555" w14:textId="77777777" w:rsidR="004B71E8" w:rsidRPr="00044A64" w:rsidRDefault="004B71E8" w:rsidP="00044A64">
      <w:pPr>
        <w:widowControl w:val="0"/>
        <w:tabs>
          <w:tab w:val="left" w:leader="hyphen" w:pos="3116"/>
        </w:tabs>
        <w:spacing w:after="0" w:line="250" w:lineRule="exact"/>
        <w:ind w:left="20" w:firstLine="720"/>
        <w:jc w:val="both"/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-1"/>
          <w:w w:val="150"/>
          <w:sz w:val="28"/>
          <w:szCs w:val="28"/>
          <w:lang w:eastAsia="ru-RU"/>
        </w:rPr>
        <w:t>Днпа = Кнпа/КНоп*100%, где</w:t>
      </w:r>
    </w:p>
    <w:p w14:paraId="65473A6A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7898DADB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Днпа - доля нормативных правовых актов Администрации, в которых выявлены риски нарушения антимонопольного законодательства;</w:t>
      </w:r>
    </w:p>
    <w:p w14:paraId="1B110869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Кнпа - количество нормативных правовых актов Администрации, в которых данным органом выявлены риски нарушения антимонопольного законодательства (в отчетном периоде);</w:t>
      </w:r>
    </w:p>
    <w:p w14:paraId="777C5991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КНоп -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периоде).</w:t>
      </w:r>
    </w:p>
    <w:p w14:paraId="7884FD11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Если в отчетном периоде отсутствовали нормативные правовые акты, в которых Администрацией были выявлены риски нарушения антимонопольного законодательства, либо отсутствовали нормативные правовые акты, в которых антимонопольным органом выявлены нарушения антимонопольного законодательства, значение числителя или знаменателя (соответственно) принимается равным нулю.</w:t>
      </w:r>
    </w:p>
    <w:p w14:paraId="20ED7CE0" w14:textId="77777777" w:rsidR="004B71E8" w:rsidRPr="00044A64" w:rsidRDefault="004B71E8" w:rsidP="00044A64">
      <w:pPr>
        <w:widowControl w:val="0"/>
        <w:spacing w:after="0" w:line="240" w:lineRule="auto"/>
        <w:ind w:left="23" w:right="23" w:firstLine="720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044A64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Доля нормативных правовых актов Администрации, в которых выявлены риски нарушения антимонопольного законодательства, равна 0%, что соответствует значению ключевого показателя на 2025 год.</w:t>
      </w:r>
    </w:p>
    <w:p w14:paraId="5CCF209E" w14:textId="77777777" w:rsidR="00004A68" w:rsidRPr="00044A64" w:rsidRDefault="00004A68" w:rsidP="00044A64">
      <w:pPr>
        <w:pStyle w:val="af0"/>
        <w:spacing w:before="2" w:line="276" w:lineRule="auto"/>
        <w:ind w:right="131"/>
        <w:rPr>
          <w:color w:val="000000" w:themeColor="text1"/>
        </w:rPr>
      </w:pPr>
      <w:r w:rsidRPr="00044A64">
        <w:rPr>
          <w:color w:val="000000" w:themeColor="text1"/>
        </w:rPr>
        <w:t>Доля нормативных правовых актов Администрации, в которых выявлены риски нарушения антимонопольного законодательства, равна 0, что соответствует значению клю</w:t>
      </w:r>
      <w:r w:rsidR="00B0003E" w:rsidRPr="00044A64">
        <w:rPr>
          <w:color w:val="000000" w:themeColor="text1"/>
        </w:rPr>
        <w:t>чевого показателя на 202</w:t>
      </w:r>
      <w:r w:rsidR="009D35DC" w:rsidRPr="00044A64">
        <w:rPr>
          <w:color w:val="000000" w:themeColor="text1"/>
        </w:rPr>
        <w:t>3</w:t>
      </w:r>
      <w:r w:rsidRPr="00044A64">
        <w:rPr>
          <w:color w:val="000000" w:themeColor="text1"/>
        </w:rPr>
        <w:t xml:space="preserve"> год.</w:t>
      </w:r>
    </w:p>
    <w:p w14:paraId="675E6FF5" w14:textId="77777777" w:rsidR="00004A68" w:rsidRPr="00044A64" w:rsidRDefault="00907B23" w:rsidP="00044A64">
      <w:pPr>
        <w:pStyle w:val="af0"/>
        <w:spacing w:line="276" w:lineRule="auto"/>
        <w:ind w:right="121" w:firstLine="0"/>
        <w:rPr>
          <w:color w:val="000000" w:themeColor="text1"/>
        </w:rPr>
      </w:pPr>
      <w:r w:rsidRPr="00044A64">
        <w:rPr>
          <w:color w:val="000000" w:themeColor="text1"/>
        </w:rPr>
        <w:t xml:space="preserve">    </w:t>
      </w:r>
      <w:r w:rsidR="00064C98" w:rsidRPr="00044A64">
        <w:rPr>
          <w:color w:val="000000" w:themeColor="text1"/>
        </w:rPr>
        <w:t xml:space="preserve">   </w:t>
      </w:r>
      <w:r w:rsidR="00004A68" w:rsidRPr="00044A64">
        <w:rPr>
          <w:color w:val="000000" w:themeColor="text1"/>
        </w:rPr>
        <w:t xml:space="preserve">Проведенная оценка эффективности функционирования антимонопольного комплаенса показала, что </w:t>
      </w:r>
      <w:r w:rsidR="0041322B" w:rsidRPr="00044A64">
        <w:rPr>
          <w:color w:val="000000" w:themeColor="text1"/>
        </w:rPr>
        <w:t>в Администрации функционирует система внутреннего обеспечения соответствия требованиям антимонопольного законодательства.  Д</w:t>
      </w:r>
      <w:r w:rsidRPr="00044A64">
        <w:rPr>
          <w:color w:val="000000" w:themeColor="text1"/>
        </w:rPr>
        <w:t>ля повышения уровня эффективности функционирования антимонопольного комплаенса необходимо продолжить повышение квалификации специалистов и усилить контроль за соблюдением требований законодательства при проведении закупочных процедур.</w:t>
      </w:r>
    </w:p>
    <w:p w14:paraId="2CF9EBB6" w14:textId="77777777" w:rsidR="00004A68" w:rsidRPr="00DC017F" w:rsidRDefault="00004A68" w:rsidP="00DC017F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p w14:paraId="0AD47991" w14:textId="77777777" w:rsidR="00554720" w:rsidRPr="00DC017F" w:rsidRDefault="00554720" w:rsidP="00DC017F">
      <w:pPr>
        <w:pStyle w:val="af0"/>
        <w:spacing w:line="276" w:lineRule="auto"/>
        <w:ind w:right="126" w:firstLine="0"/>
        <w:rPr>
          <w:color w:val="000000" w:themeColor="text1"/>
        </w:rPr>
      </w:pPr>
      <w:r w:rsidRPr="00DC017F">
        <w:rPr>
          <w:color w:val="000000" w:themeColor="text1"/>
        </w:rPr>
        <w:t xml:space="preserve">      </w:t>
      </w:r>
    </w:p>
    <w:sectPr w:rsidR="00554720" w:rsidRPr="00DC017F" w:rsidSect="00F87861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CBD61" w14:textId="77777777" w:rsidR="002979D6" w:rsidRDefault="002979D6" w:rsidP="001607BC">
      <w:pPr>
        <w:spacing w:after="0" w:line="240" w:lineRule="auto"/>
      </w:pPr>
      <w:r>
        <w:separator/>
      </w:r>
    </w:p>
  </w:endnote>
  <w:endnote w:type="continuationSeparator" w:id="0">
    <w:p w14:paraId="151DFB47" w14:textId="77777777" w:rsidR="002979D6" w:rsidRDefault="002979D6" w:rsidP="0016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C6D08" w14:textId="77777777" w:rsidR="002979D6" w:rsidRDefault="002979D6" w:rsidP="001607BC">
      <w:pPr>
        <w:spacing w:after="0" w:line="240" w:lineRule="auto"/>
      </w:pPr>
      <w:r>
        <w:separator/>
      </w:r>
    </w:p>
  </w:footnote>
  <w:footnote w:type="continuationSeparator" w:id="0">
    <w:p w14:paraId="618AB0EA" w14:textId="77777777" w:rsidR="002979D6" w:rsidRDefault="002979D6" w:rsidP="0016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F0A"/>
    <w:multiLevelType w:val="hybridMultilevel"/>
    <w:tmpl w:val="F1FE2756"/>
    <w:lvl w:ilvl="0" w:tplc="74426556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214C211F"/>
    <w:multiLevelType w:val="hybridMultilevel"/>
    <w:tmpl w:val="9BAEF44C"/>
    <w:lvl w:ilvl="0" w:tplc="B9046BBE">
      <w:numFmt w:val="bullet"/>
      <w:lvlText w:val="-"/>
      <w:lvlJc w:val="left"/>
      <w:pPr>
        <w:ind w:left="113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A1EE5EA">
      <w:numFmt w:val="bullet"/>
      <w:lvlText w:val="•"/>
      <w:lvlJc w:val="left"/>
      <w:pPr>
        <w:ind w:left="1152" w:hanging="433"/>
      </w:pPr>
      <w:rPr>
        <w:lang w:val="ru-RU" w:eastAsia="en-US" w:bidi="ar-SA"/>
      </w:rPr>
    </w:lvl>
    <w:lvl w:ilvl="2" w:tplc="F82C4ED0">
      <w:numFmt w:val="bullet"/>
      <w:lvlText w:val="•"/>
      <w:lvlJc w:val="left"/>
      <w:pPr>
        <w:ind w:left="2184" w:hanging="433"/>
      </w:pPr>
      <w:rPr>
        <w:lang w:val="ru-RU" w:eastAsia="en-US" w:bidi="ar-SA"/>
      </w:rPr>
    </w:lvl>
    <w:lvl w:ilvl="3" w:tplc="03C4E0C4">
      <w:numFmt w:val="bullet"/>
      <w:lvlText w:val="•"/>
      <w:lvlJc w:val="left"/>
      <w:pPr>
        <w:ind w:left="3217" w:hanging="433"/>
      </w:pPr>
      <w:rPr>
        <w:lang w:val="ru-RU" w:eastAsia="en-US" w:bidi="ar-SA"/>
      </w:rPr>
    </w:lvl>
    <w:lvl w:ilvl="4" w:tplc="7C7E8E5E">
      <w:numFmt w:val="bullet"/>
      <w:lvlText w:val="•"/>
      <w:lvlJc w:val="left"/>
      <w:pPr>
        <w:ind w:left="4249" w:hanging="433"/>
      </w:pPr>
      <w:rPr>
        <w:lang w:val="ru-RU" w:eastAsia="en-US" w:bidi="ar-SA"/>
      </w:rPr>
    </w:lvl>
    <w:lvl w:ilvl="5" w:tplc="16BC917E">
      <w:numFmt w:val="bullet"/>
      <w:lvlText w:val="•"/>
      <w:lvlJc w:val="left"/>
      <w:pPr>
        <w:ind w:left="5282" w:hanging="433"/>
      </w:pPr>
      <w:rPr>
        <w:lang w:val="ru-RU" w:eastAsia="en-US" w:bidi="ar-SA"/>
      </w:rPr>
    </w:lvl>
    <w:lvl w:ilvl="6" w:tplc="1CDC7EC4">
      <w:numFmt w:val="bullet"/>
      <w:lvlText w:val="•"/>
      <w:lvlJc w:val="left"/>
      <w:pPr>
        <w:ind w:left="6314" w:hanging="433"/>
      </w:pPr>
      <w:rPr>
        <w:lang w:val="ru-RU" w:eastAsia="en-US" w:bidi="ar-SA"/>
      </w:rPr>
    </w:lvl>
    <w:lvl w:ilvl="7" w:tplc="BB5AE2B6">
      <w:numFmt w:val="bullet"/>
      <w:lvlText w:val="•"/>
      <w:lvlJc w:val="left"/>
      <w:pPr>
        <w:ind w:left="7346" w:hanging="433"/>
      </w:pPr>
      <w:rPr>
        <w:lang w:val="ru-RU" w:eastAsia="en-US" w:bidi="ar-SA"/>
      </w:rPr>
    </w:lvl>
    <w:lvl w:ilvl="8" w:tplc="EDC0A2AA">
      <w:numFmt w:val="bullet"/>
      <w:lvlText w:val="•"/>
      <w:lvlJc w:val="left"/>
      <w:pPr>
        <w:ind w:left="8379" w:hanging="433"/>
      </w:pPr>
      <w:rPr>
        <w:lang w:val="ru-RU" w:eastAsia="en-US" w:bidi="ar-SA"/>
      </w:rPr>
    </w:lvl>
  </w:abstractNum>
  <w:abstractNum w:abstractNumId="2" w15:restartNumberingAfterBreak="0">
    <w:nsid w:val="35C34816"/>
    <w:multiLevelType w:val="hybridMultilevel"/>
    <w:tmpl w:val="71AE9076"/>
    <w:lvl w:ilvl="0" w:tplc="B1B29D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F75D37"/>
    <w:multiLevelType w:val="multilevel"/>
    <w:tmpl w:val="A8E013C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C4409A"/>
    <w:multiLevelType w:val="multilevel"/>
    <w:tmpl w:val="112AF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096487A"/>
    <w:multiLevelType w:val="hybridMultilevel"/>
    <w:tmpl w:val="3F54C2AC"/>
    <w:lvl w:ilvl="0" w:tplc="D39A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8138C"/>
    <w:multiLevelType w:val="hybridMultilevel"/>
    <w:tmpl w:val="3F54C2AC"/>
    <w:lvl w:ilvl="0" w:tplc="D39A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144E97"/>
    <w:multiLevelType w:val="hybridMultilevel"/>
    <w:tmpl w:val="3006D932"/>
    <w:lvl w:ilvl="0" w:tplc="F912E7A2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7BAF56A">
      <w:numFmt w:val="bullet"/>
      <w:lvlText w:val="•"/>
      <w:lvlJc w:val="left"/>
      <w:pPr>
        <w:ind w:left="1152" w:hanging="284"/>
      </w:pPr>
      <w:rPr>
        <w:lang w:val="ru-RU" w:eastAsia="en-US" w:bidi="ar-SA"/>
      </w:rPr>
    </w:lvl>
    <w:lvl w:ilvl="2" w:tplc="8982CD78">
      <w:numFmt w:val="bullet"/>
      <w:lvlText w:val="•"/>
      <w:lvlJc w:val="left"/>
      <w:pPr>
        <w:ind w:left="2184" w:hanging="284"/>
      </w:pPr>
      <w:rPr>
        <w:lang w:val="ru-RU" w:eastAsia="en-US" w:bidi="ar-SA"/>
      </w:rPr>
    </w:lvl>
    <w:lvl w:ilvl="3" w:tplc="252EBA46">
      <w:numFmt w:val="bullet"/>
      <w:lvlText w:val="•"/>
      <w:lvlJc w:val="left"/>
      <w:pPr>
        <w:ind w:left="3217" w:hanging="284"/>
      </w:pPr>
      <w:rPr>
        <w:lang w:val="ru-RU" w:eastAsia="en-US" w:bidi="ar-SA"/>
      </w:rPr>
    </w:lvl>
    <w:lvl w:ilvl="4" w:tplc="BB847096">
      <w:numFmt w:val="bullet"/>
      <w:lvlText w:val="•"/>
      <w:lvlJc w:val="left"/>
      <w:pPr>
        <w:ind w:left="4249" w:hanging="284"/>
      </w:pPr>
      <w:rPr>
        <w:lang w:val="ru-RU" w:eastAsia="en-US" w:bidi="ar-SA"/>
      </w:rPr>
    </w:lvl>
    <w:lvl w:ilvl="5" w:tplc="8A9CF6F2">
      <w:numFmt w:val="bullet"/>
      <w:lvlText w:val="•"/>
      <w:lvlJc w:val="left"/>
      <w:pPr>
        <w:ind w:left="5282" w:hanging="284"/>
      </w:pPr>
      <w:rPr>
        <w:lang w:val="ru-RU" w:eastAsia="en-US" w:bidi="ar-SA"/>
      </w:rPr>
    </w:lvl>
    <w:lvl w:ilvl="6" w:tplc="4636DB6A">
      <w:numFmt w:val="bullet"/>
      <w:lvlText w:val="•"/>
      <w:lvlJc w:val="left"/>
      <w:pPr>
        <w:ind w:left="6314" w:hanging="284"/>
      </w:pPr>
      <w:rPr>
        <w:lang w:val="ru-RU" w:eastAsia="en-US" w:bidi="ar-SA"/>
      </w:rPr>
    </w:lvl>
    <w:lvl w:ilvl="7" w:tplc="FCD2C700">
      <w:numFmt w:val="bullet"/>
      <w:lvlText w:val="•"/>
      <w:lvlJc w:val="left"/>
      <w:pPr>
        <w:ind w:left="7346" w:hanging="284"/>
      </w:pPr>
      <w:rPr>
        <w:lang w:val="ru-RU" w:eastAsia="en-US" w:bidi="ar-SA"/>
      </w:rPr>
    </w:lvl>
    <w:lvl w:ilvl="8" w:tplc="D8E43308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</w:abstractNum>
  <w:abstractNum w:abstractNumId="8" w15:restartNumberingAfterBreak="0">
    <w:nsid w:val="6E0B7D64"/>
    <w:multiLevelType w:val="multilevel"/>
    <w:tmpl w:val="6BF4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A54BF2"/>
    <w:multiLevelType w:val="hybridMultilevel"/>
    <w:tmpl w:val="91CCC432"/>
    <w:lvl w:ilvl="0" w:tplc="6B261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0E"/>
    <w:rsid w:val="00004A68"/>
    <w:rsid w:val="00030946"/>
    <w:rsid w:val="00044A64"/>
    <w:rsid w:val="00064C98"/>
    <w:rsid w:val="00084E8E"/>
    <w:rsid w:val="000B1C7E"/>
    <w:rsid w:val="000C0266"/>
    <w:rsid w:val="000C2125"/>
    <w:rsid w:val="000C221A"/>
    <w:rsid w:val="000E35B7"/>
    <w:rsid w:val="000F2747"/>
    <w:rsid w:val="000F6378"/>
    <w:rsid w:val="00111FDC"/>
    <w:rsid w:val="00117AAC"/>
    <w:rsid w:val="00143257"/>
    <w:rsid w:val="0015395D"/>
    <w:rsid w:val="0015753E"/>
    <w:rsid w:val="001607BC"/>
    <w:rsid w:val="001919DC"/>
    <w:rsid w:val="001A4133"/>
    <w:rsid w:val="001A52CE"/>
    <w:rsid w:val="001A7803"/>
    <w:rsid w:val="001B3C0D"/>
    <w:rsid w:val="001D3853"/>
    <w:rsid w:val="002108D6"/>
    <w:rsid w:val="0022492A"/>
    <w:rsid w:val="00233238"/>
    <w:rsid w:val="0024208B"/>
    <w:rsid w:val="00243CD3"/>
    <w:rsid w:val="0024690A"/>
    <w:rsid w:val="00276DCC"/>
    <w:rsid w:val="00294554"/>
    <w:rsid w:val="00295DFE"/>
    <w:rsid w:val="002979D6"/>
    <w:rsid w:val="002B505A"/>
    <w:rsid w:val="002B5144"/>
    <w:rsid w:val="002B6F7A"/>
    <w:rsid w:val="002E39D2"/>
    <w:rsid w:val="002F2B9B"/>
    <w:rsid w:val="00301497"/>
    <w:rsid w:val="0030402F"/>
    <w:rsid w:val="00316CC9"/>
    <w:rsid w:val="00350923"/>
    <w:rsid w:val="003937C6"/>
    <w:rsid w:val="00396C73"/>
    <w:rsid w:val="003A2BBA"/>
    <w:rsid w:val="003C1033"/>
    <w:rsid w:val="003D11F7"/>
    <w:rsid w:val="003F786D"/>
    <w:rsid w:val="00412B16"/>
    <w:rsid w:val="0041322B"/>
    <w:rsid w:val="004254C6"/>
    <w:rsid w:val="00425558"/>
    <w:rsid w:val="00446941"/>
    <w:rsid w:val="0045679B"/>
    <w:rsid w:val="00460442"/>
    <w:rsid w:val="004634F7"/>
    <w:rsid w:val="00470F3D"/>
    <w:rsid w:val="00490B11"/>
    <w:rsid w:val="004931FC"/>
    <w:rsid w:val="004968F6"/>
    <w:rsid w:val="004B42F8"/>
    <w:rsid w:val="004B5690"/>
    <w:rsid w:val="004B5795"/>
    <w:rsid w:val="004B71E8"/>
    <w:rsid w:val="004C0E93"/>
    <w:rsid w:val="004E01E4"/>
    <w:rsid w:val="004F5365"/>
    <w:rsid w:val="005257AC"/>
    <w:rsid w:val="005347E9"/>
    <w:rsid w:val="00535622"/>
    <w:rsid w:val="00550FDB"/>
    <w:rsid w:val="00552A83"/>
    <w:rsid w:val="00554720"/>
    <w:rsid w:val="00563278"/>
    <w:rsid w:val="005705EB"/>
    <w:rsid w:val="00590D8E"/>
    <w:rsid w:val="00592B23"/>
    <w:rsid w:val="00595967"/>
    <w:rsid w:val="0059601E"/>
    <w:rsid w:val="005A29B7"/>
    <w:rsid w:val="005A5C2A"/>
    <w:rsid w:val="005B5FDB"/>
    <w:rsid w:val="005C196C"/>
    <w:rsid w:val="005C6135"/>
    <w:rsid w:val="005E49E6"/>
    <w:rsid w:val="005F0995"/>
    <w:rsid w:val="0061122C"/>
    <w:rsid w:val="0062236A"/>
    <w:rsid w:val="006250F5"/>
    <w:rsid w:val="00656E9C"/>
    <w:rsid w:val="0067068B"/>
    <w:rsid w:val="006843A9"/>
    <w:rsid w:val="00692045"/>
    <w:rsid w:val="006973B4"/>
    <w:rsid w:val="006A5644"/>
    <w:rsid w:val="006C42F6"/>
    <w:rsid w:val="006E2184"/>
    <w:rsid w:val="006E3950"/>
    <w:rsid w:val="006E4134"/>
    <w:rsid w:val="006F2437"/>
    <w:rsid w:val="0070752F"/>
    <w:rsid w:val="007179B5"/>
    <w:rsid w:val="00720037"/>
    <w:rsid w:val="007371DF"/>
    <w:rsid w:val="00741C9B"/>
    <w:rsid w:val="00744EF7"/>
    <w:rsid w:val="007451D9"/>
    <w:rsid w:val="007561C2"/>
    <w:rsid w:val="007602D5"/>
    <w:rsid w:val="00763FB4"/>
    <w:rsid w:val="007650A2"/>
    <w:rsid w:val="007945DD"/>
    <w:rsid w:val="007A745A"/>
    <w:rsid w:val="007B669B"/>
    <w:rsid w:val="007B7BDE"/>
    <w:rsid w:val="007E74E9"/>
    <w:rsid w:val="0080551D"/>
    <w:rsid w:val="008104CA"/>
    <w:rsid w:val="00812EC1"/>
    <w:rsid w:val="00820EB1"/>
    <w:rsid w:val="008755AA"/>
    <w:rsid w:val="0088003C"/>
    <w:rsid w:val="00891A31"/>
    <w:rsid w:val="0089600E"/>
    <w:rsid w:val="00896ABF"/>
    <w:rsid w:val="008B42B1"/>
    <w:rsid w:val="008B4815"/>
    <w:rsid w:val="008D3B54"/>
    <w:rsid w:val="008E7D53"/>
    <w:rsid w:val="00907B23"/>
    <w:rsid w:val="00911B1F"/>
    <w:rsid w:val="009205F2"/>
    <w:rsid w:val="009447ED"/>
    <w:rsid w:val="00945F1C"/>
    <w:rsid w:val="00947B78"/>
    <w:rsid w:val="00957005"/>
    <w:rsid w:val="00964FEC"/>
    <w:rsid w:val="00977F24"/>
    <w:rsid w:val="00987CF2"/>
    <w:rsid w:val="009912B6"/>
    <w:rsid w:val="009971B5"/>
    <w:rsid w:val="009B3420"/>
    <w:rsid w:val="009B7E15"/>
    <w:rsid w:val="009D35DC"/>
    <w:rsid w:val="009E7648"/>
    <w:rsid w:val="009F3EA6"/>
    <w:rsid w:val="00A30BB4"/>
    <w:rsid w:val="00A36F15"/>
    <w:rsid w:val="00AA6168"/>
    <w:rsid w:val="00AB1DA4"/>
    <w:rsid w:val="00AD4A62"/>
    <w:rsid w:val="00B0003E"/>
    <w:rsid w:val="00B067CB"/>
    <w:rsid w:val="00B10D30"/>
    <w:rsid w:val="00B14219"/>
    <w:rsid w:val="00B2294F"/>
    <w:rsid w:val="00B26491"/>
    <w:rsid w:val="00B40DD8"/>
    <w:rsid w:val="00B5760E"/>
    <w:rsid w:val="00B57E92"/>
    <w:rsid w:val="00B603EC"/>
    <w:rsid w:val="00B83408"/>
    <w:rsid w:val="00B859D9"/>
    <w:rsid w:val="00B94A27"/>
    <w:rsid w:val="00BA163B"/>
    <w:rsid w:val="00BB5D2F"/>
    <w:rsid w:val="00BC6CA8"/>
    <w:rsid w:val="00BC7249"/>
    <w:rsid w:val="00BC72C3"/>
    <w:rsid w:val="00BE260B"/>
    <w:rsid w:val="00BE50EA"/>
    <w:rsid w:val="00C008A7"/>
    <w:rsid w:val="00C06D81"/>
    <w:rsid w:val="00C10F5F"/>
    <w:rsid w:val="00C43330"/>
    <w:rsid w:val="00C76FD8"/>
    <w:rsid w:val="00C95EFC"/>
    <w:rsid w:val="00CB7BF6"/>
    <w:rsid w:val="00D028FD"/>
    <w:rsid w:val="00D13452"/>
    <w:rsid w:val="00D20628"/>
    <w:rsid w:val="00D20C61"/>
    <w:rsid w:val="00D32081"/>
    <w:rsid w:val="00D36E10"/>
    <w:rsid w:val="00D41866"/>
    <w:rsid w:val="00D519F2"/>
    <w:rsid w:val="00D7663C"/>
    <w:rsid w:val="00DB1F9E"/>
    <w:rsid w:val="00DC017F"/>
    <w:rsid w:val="00DC47D4"/>
    <w:rsid w:val="00DC569E"/>
    <w:rsid w:val="00DE5316"/>
    <w:rsid w:val="00E31381"/>
    <w:rsid w:val="00E3324A"/>
    <w:rsid w:val="00E3629E"/>
    <w:rsid w:val="00E36C45"/>
    <w:rsid w:val="00E37FA5"/>
    <w:rsid w:val="00E51E39"/>
    <w:rsid w:val="00E54A23"/>
    <w:rsid w:val="00E67CD2"/>
    <w:rsid w:val="00E77B42"/>
    <w:rsid w:val="00E82AB4"/>
    <w:rsid w:val="00E94586"/>
    <w:rsid w:val="00EB03DE"/>
    <w:rsid w:val="00EB0CF9"/>
    <w:rsid w:val="00EC09C2"/>
    <w:rsid w:val="00EC1D80"/>
    <w:rsid w:val="00EC51FC"/>
    <w:rsid w:val="00EC6C05"/>
    <w:rsid w:val="00EE661C"/>
    <w:rsid w:val="00EF5803"/>
    <w:rsid w:val="00F03589"/>
    <w:rsid w:val="00F0662E"/>
    <w:rsid w:val="00F14D79"/>
    <w:rsid w:val="00F32024"/>
    <w:rsid w:val="00F44B3B"/>
    <w:rsid w:val="00F455EE"/>
    <w:rsid w:val="00F736AA"/>
    <w:rsid w:val="00F73C09"/>
    <w:rsid w:val="00F77553"/>
    <w:rsid w:val="00F87861"/>
    <w:rsid w:val="00F91445"/>
    <w:rsid w:val="00F93196"/>
    <w:rsid w:val="00FA428E"/>
    <w:rsid w:val="00FA516A"/>
    <w:rsid w:val="00FB545D"/>
    <w:rsid w:val="00FB6E90"/>
    <w:rsid w:val="00FF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A87F7"/>
  <w15:docId w15:val="{F1CA153A-837E-485A-AD9B-46BBADEC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912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5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7BC"/>
  </w:style>
  <w:style w:type="paragraph" w:styleId="a8">
    <w:name w:val="footer"/>
    <w:basedOn w:val="a"/>
    <w:link w:val="a9"/>
    <w:uiPriority w:val="99"/>
    <w:unhideWhenUsed/>
    <w:rsid w:val="00160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7BC"/>
  </w:style>
  <w:style w:type="character" w:customStyle="1" w:styleId="aa">
    <w:name w:val="Основной текст_"/>
    <w:basedOn w:val="a0"/>
    <w:link w:val="2"/>
    <w:locked/>
    <w:rsid w:val="0022492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22492A"/>
    <w:pPr>
      <w:shd w:val="clear" w:color="auto" w:fill="FFFFFF"/>
      <w:spacing w:after="0" w:line="326" w:lineRule="exact"/>
    </w:pPr>
    <w:rPr>
      <w:sz w:val="27"/>
      <w:szCs w:val="27"/>
    </w:rPr>
  </w:style>
  <w:style w:type="paragraph" w:styleId="ab">
    <w:name w:val="No Spacing"/>
    <w:link w:val="ac"/>
    <w:uiPriority w:val="1"/>
    <w:qFormat/>
    <w:rsid w:val="0022492A"/>
    <w:pPr>
      <w:spacing w:after="0" w:line="240" w:lineRule="auto"/>
    </w:pPr>
  </w:style>
  <w:style w:type="paragraph" w:customStyle="1" w:styleId="ConsPlusNonformat">
    <w:name w:val="ConsPlusNonformat"/>
    <w:rsid w:val="00C76F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C76FD8"/>
  </w:style>
  <w:style w:type="character" w:styleId="ad">
    <w:name w:val="Hyperlink"/>
    <w:basedOn w:val="a0"/>
    <w:uiPriority w:val="99"/>
    <w:unhideWhenUsed/>
    <w:rsid w:val="00243CD3"/>
    <w:rPr>
      <w:color w:val="0000F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0E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0E35B7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EB0CF9"/>
    <w:pPr>
      <w:widowControl w:val="0"/>
      <w:autoSpaceDE w:val="0"/>
      <w:autoSpaceDN w:val="0"/>
      <w:spacing w:after="0" w:line="240" w:lineRule="auto"/>
      <w:ind w:left="113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B0CF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.admin-smolensk.ru/otdel-ekonomiki/antimonopolnyj-komplae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on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8E3F-17DC-4AC8-8FDF-A8A8A72F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Штанченко Марина Анатольевна</dc:creator>
  <cp:lastModifiedBy>Пользователь</cp:lastModifiedBy>
  <cp:revision>3</cp:revision>
  <cp:lastPrinted>2023-03-07T07:59:00Z</cp:lastPrinted>
  <dcterms:created xsi:type="dcterms:W3CDTF">2026-02-19T07:34:00Z</dcterms:created>
  <dcterms:modified xsi:type="dcterms:W3CDTF">2026-02-19T07:39:00Z</dcterms:modified>
</cp:coreProperties>
</file>